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0C1F06A2" w14:textId="7A81C96E" w:rsidR="0056547C" w:rsidRPr="00D85957" w:rsidRDefault="0056547C" w:rsidP="00930229">
      <w:pPr>
        <w:jc w:val="both"/>
        <w:rPr>
          <w:rFonts w:eastAsia="Times New Roman" w:cstheme="minorHAnsi"/>
          <w:i/>
          <w:color w:val="FF0000"/>
        </w:rPr>
      </w:pPr>
      <w:r w:rsidRPr="00D85957">
        <w:rPr>
          <w:rFonts w:eastAsia="Times New Roman" w:cstheme="minorHAnsi"/>
          <w:i/>
          <w:color w:val="FF0000"/>
        </w:rPr>
        <w:t xml:space="preserve">PC14 template - </w:t>
      </w:r>
      <w:r w:rsidR="00504B1F" w:rsidRPr="00D85957">
        <w:rPr>
          <w:rFonts w:eastAsia="Times New Roman" w:cstheme="minorHAnsi"/>
          <w:b/>
          <w:i/>
          <w:color w:val="FF0000"/>
          <w:highlight w:val="cyan"/>
        </w:rPr>
        <w:t>Residential buildings</w:t>
      </w:r>
      <w:r w:rsidRPr="00D85957">
        <w:rPr>
          <w:rFonts w:eastAsia="Times New Roman" w:cstheme="minorHAnsi"/>
          <w:b/>
          <w:i/>
          <w:color w:val="FF0000"/>
          <w:highlight w:val="cyan"/>
        </w:rPr>
        <w:t xml:space="preserve"> in residential zones</w:t>
      </w:r>
      <w:r w:rsidRPr="00D85957">
        <w:rPr>
          <w:rFonts w:eastAsia="Times New Roman" w:cstheme="minorHAnsi"/>
          <w:i/>
          <w:color w:val="FF0000"/>
        </w:rPr>
        <w:t xml:space="preserve"> </w:t>
      </w:r>
      <w:r w:rsidR="00930229" w:rsidRPr="00D85957">
        <w:rPr>
          <w:rFonts w:eastAsia="Times New Roman" w:cstheme="minorHAnsi"/>
          <w:i/>
          <w:color w:val="FF0000"/>
        </w:rPr>
        <w:t xml:space="preserve">lodged on or after </w:t>
      </w:r>
      <w:r w:rsidR="00936BC4" w:rsidRPr="00D85957">
        <w:rPr>
          <w:rFonts w:eastAsia="Times New Roman" w:cstheme="minorHAnsi"/>
          <w:i/>
          <w:color w:val="FF0000"/>
        </w:rPr>
        <w:t>17 Ma</w:t>
      </w:r>
      <w:r w:rsidR="00E90663" w:rsidRPr="00D85957">
        <w:rPr>
          <w:rFonts w:eastAsia="Times New Roman" w:cstheme="minorHAnsi"/>
          <w:i/>
          <w:color w:val="FF0000"/>
        </w:rPr>
        <w:t>rch 2023</w:t>
      </w:r>
      <w:r w:rsidRPr="00D85957">
        <w:rPr>
          <w:rFonts w:eastAsia="Times New Roman" w:cstheme="minorHAnsi"/>
          <w:i/>
          <w:color w:val="FF0000"/>
        </w:rPr>
        <w:t xml:space="preserve"> </w:t>
      </w:r>
    </w:p>
    <w:p w14:paraId="385F4515" w14:textId="74FF37F1" w:rsidR="00930229" w:rsidRPr="00F611D9" w:rsidRDefault="008F3B50" w:rsidP="00E312B4">
      <w:pPr>
        <w:rPr>
          <w:i/>
          <w:iCs/>
          <w:color w:val="FF0000"/>
        </w:rPr>
      </w:pPr>
      <w:r w:rsidRPr="00F611D9">
        <w:rPr>
          <w:i/>
          <w:iCs/>
          <w:color w:val="FF0000"/>
          <w:u w:val="single"/>
        </w:rPr>
        <w:t>EXCEPT</w:t>
      </w:r>
      <w:r w:rsidR="0056547C" w:rsidRPr="00F611D9">
        <w:rPr>
          <w:i/>
          <w:iCs/>
          <w:color w:val="FF0000"/>
        </w:rPr>
        <w:t xml:space="preserve"> </w:t>
      </w:r>
      <w:r w:rsidR="004E0928" w:rsidRPr="00F611D9">
        <w:rPr>
          <w:i/>
          <w:iCs/>
          <w:color w:val="FF0000"/>
        </w:rPr>
        <w:t xml:space="preserve">operative zones </w:t>
      </w:r>
      <w:r w:rsidR="0056547C" w:rsidRPr="00F611D9">
        <w:rPr>
          <w:i/>
          <w:iCs/>
          <w:color w:val="FF0000"/>
        </w:rPr>
        <w:t>RSS, RLL</w:t>
      </w:r>
      <w:r w:rsidR="00E404FE" w:rsidRPr="00F611D9">
        <w:rPr>
          <w:i/>
          <w:iCs/>
          <w:color w:val="FF0000"/>
        </w:rPr>
        <w:t>,</w:t>
      </w:r>
      <w:r w:rsidR="0056547C" w:rsidRPr="00F611D9">
        <w:rPr>
          <w:i/>
          <w:iCs/>
          <w:color w:val="FF0000"/>
        </w:rPr>
        <w:t xml:space="preserve"> RBP outside Lyttelton</w:t>
      </w:r>
      <w:r w:rsidR="00E404FE" w:rsidRPr="00F611D9">
        <w:rPr>
          <w:i/>
          <w:iCs/>
          <w:color w:val="FF0000"/>
        </w:rPr>
        <w:t>, and proposed Future Urban zone in PC14.</w:t>
      </w:r>
    </w:p>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FD2919" w:rsidRPr="00D85957" w14:paraId="604CCA8E" w14:textId="77777777" w:rsidTr="004179D5">
        <w:tc>
          <w:tcPr>
            <w:tcW w:w="3261"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593"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4179D5">
        <w:tc>
          <w:tcPr>
            <w:tcW w:w="3261"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593"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4179D5">
        <w:tc>
          <w:tcPr>
            <w:tcW w:w="3261"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593"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4179D5">
        <w:tc>
          <w:tcPr>
            <w:tcW w:w="3261"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593"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4179D5">
        <w:tc>
          <w:tcPr>
            <w:tcW w:w="3261" w:type="dxa"/>
          </w:tcPr>
          <w:p w14:paraId="38EDD24E" w14:textId="77777777" w:rsidR="00FD2919" w:rsidRPr="00D85957" w:rsidRDefault="00FD2919" w:rsidP="004179D5">
            <w:pPr>
              <w:spacing w:before="20"/>
              <w:rPr>
                <w:rFonts w:cstheme="minorHAnsi"/>
              </w:rPr>
            </w:pPr>
            <w:r w:rsidRPr="00D85957">
              <w:rPr>
                <w:rFonts w:cstheme="minorHAnsi"/>
                <w:b/>
                <w:color w:val="000000"/>
              </w:rPr>
              <w:t>Zone:</w:t>
            </w:r>
          </w:p>
        </w:tc>
        <w:tc>
          <w:tcPr>
            <w:tcW w:w="6593" w:type="dxa"/>
          </w:tcPr>
          <w:p w14:paraId="16A9C2B8" w14:textId="77777777" w:rsidR="00FD2919" w:rsidRPr="00D85957" w:rsidRDefault="00FD2919" w:rsidP="004179D5">
            <w:pPr>
              <w:spacing w:before="20"/>
              <w:rPr>
                <w:rFonts w:cstheme="minorHAnsi"/>
              </w:rPr>
            </w:pPr>
          </w:p>
        </w:tc>
      </w:tr>
      <w:tr w:rsidR="00F26815" w:rsidRPr="00D85957" w14:paraId="41149D76" w14:textId="77777777" w:rsidTr="004179D5">
        <w:tc>
          <w:tcPr>
            <w:tcW w:w="3261" w:type="dxa"/>
          </w:tcPr>
          <w:p w14:paraId="534DFCAE"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71E3893B"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7520E8CB" w14:textId="77777777" w:rsidTr="004179D5">
        <w:tc>
          <w:tcPr>
            <w:tcW w:w="3261" w:type="dxa"/>
          </w:tcPr>
          <w:p w14:paraId="4EE9899D"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70512C64" w14:textId="0B4ED95E"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26815" w:rsidRPr="00D85957" w14:paraId="53C3D570" w14:textId="77777777" w:rsidTr="004179D5">
        <w:tc>
          <w:tcPr>
            <w:tcW w:w="3261" w:type="dxa"/>
          </w:tcPr>
          <w:p w14:paraId="0A8FA651" w14:textId="77777777" w:rsidR="00FD2919" w:rsidRPr="00D85957" w:rsidRDefault="00FD2919" w:rsidP="004179D5">
            <w:pPr>
              <w:spacing w:before="20"/>
              <w:rPr>
                <w:rFonts w:cstheme="minorHAnsi"/>
                <w:color w:val="000000" w:themeColor="text1"/>
              </w:rPr>
            </w:pPr>
            <w:r w:rsidRPr="00D85957">
              <w:rPr>
                <w:rFonts w:cstheme="minorHAnsi"/>
                <w:b/>
                <w:color w:val="000000" w:themeColor="text1"/>
              </w:rPr>
              <w:t>Overlays and map notations:</w:t>
            </w:r>
          </w:p>
        </w:tc>
        <w:tc>
          <w:tcPr>
            <w:tcW w:w="6593" w:type="dxa"/>
          </w:tcPr>
          <w:p w14:paraId="43EC1A90" w14:textId="77777777" w:rsidR="00FD2919" w:rsidRPr="00D85957" w:rsidRDefault="00FD2919" w:rsidP="004179D5">
            <w:pPr>
              <w:spacing w:before="20"/>
              <w:rPr>
                <w:rFonts w:cstheme="minorHAnsi"/>
                <w:color w:val="000000" w:themeColor="text1"/>
              </w:rPr>
            </w:pPr>
          </w:p>
        </w:tc>
      </w:tr>
      <w:tr w:rsidR="00F26815" w:rsidRPr="00D85957" w14:paraId="3CA3475E" w14:textId="77777777" w:rsidTr="004179D5">
        <w:tc>
          <w:tcPr>
            <w:tcW w:w="3261" w:type="dxa"/>
          </w:tcPr>
          <w:p w14:paraId="1ADFFC56"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1DE03022"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47BF45F7" w14:textId="77777777" w:rsidTr="004179D5">
        <w:tc>
          <w:tcPr>
            <w:tcW w:w="3261" w:type="dxa"/>
          </w:tcPr>
          <w:p w14:paraId="5EF5B1C5"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12B1BD7E" w14:textId="6AF5934F"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D2919" w:rsidRPr="00D85957" w14:paraId="47FFB7BC" w14:textId="77777777" w:rsidTr="004179D5">
        <w:tc>
          <w:tcPr>
            <w:tcW w:w="3261" w:type="dxa"/>
          </w:tcPr>
          <w:p w14:paraId="0FEC019B" w14:textId="77777777" w:rsidR="00FD2919" w:rsidRPr="00D85957" w:rsidRDefault="00FD2919" w:rsidP="004179D5">
            <w:pPr>
              <w:spacing w:before="20"/>
              <w:ind w:firstLine="306"/>
              <w:rPr>
                <w:rFonts w:cstheme="minorHAnsi"/>
              </w:rPr>
            </w:pPr>
            <w:r w:rsidRPr="00D85957">
              <w:rPr>
                <w:rFonts w:cstheme="minorHAnsi"/>
                <w:b/>
                <w:color w:val="000000"/>
              </w:rPr>
              <w:t>Road classification:</w:t>
            </w:r>
          </w:p>
        </w:tc>
        <w:tc>
          <w:tcPr>
            <w:tcW w:w="6593"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5AF3D64B" w14:textId="77777777" w:rsidTr="004179D5">
        <w:trPr>
          <w:trHeight w:val="115"/>
        </w:trPr>
        <w:tc>
          <w:tcPr>
            <w:tcW w:w="3261" w:type="dxa"/>
          </w:tcPr>
          <w:p w14:paraId="38388808" w14:textId="77777777" w:rsidR="00FD2919" w:rsidRPr="00D85957" w:rsidRDefault="00FD2919" w:rsidP="004179D5">
            <w:pPr>
              <w:spacing w:before="20"/>
              <w:rPr>
                <w:rFonts w:cstheme="minorHAnsi"/>
                <w:b/>
                <w:color w:val="000000"/>
              </w:rPr>
            </w:pPr>
          </w:p>
        </w:tc>
        <w:tc>
          <w:tcPr>
            <w:tcW w:w="6593"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4179D5">
        <w:tc>
          <w:tcPr>
            <w:tcW w:w="3261"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593"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4179D5">
        <w:tc>
          <w:tcPr>
            <w:tcW w:w="3261" w:type="dxa"/>
          </w:tcPr>
          <w:p w14:paraId="4C347313" w14:textId="77777777" w:rsidR="00FD2919" w:rsidRPr="00D85957" w:rsidRDefault="00FD2919" w:rsidP="004179D5">
            <w:pPr>
              <w:spacing w:before="20"/>
              <w:rPr>
                <w:rFonts w:cstheme="minorHAnsi"/>
              </w:rPr>
            </w:pPr>
          </w:p>
        </w:tc>
        <w:tc>
          <w:tcPr>
            <w:tcW w:w="6593"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4179D5">
        <w:tc>
          <w:tcPr>
            <w:tcW w:w="3261"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593"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07F8D2CF"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w:t>
      </w:r>
      <w:r w:rsidR="002C7F40" w:rsidRPr="00D85957">
        <w:rPr>
          <w:rFonts w:eastAsia="Times New Roman" w:cstheme="minorHAnsi"/>
          <w:lang w:val="en-AU"/>
        </w:rPr>
        <w:t>Plan and</w:t>
      </w:r>
      <w:r w:rsidRPr="00D85957">
        <w:rPr>
          <w:rFonts w:eastAsia="Times New Roman" w:cstheme="minorHAnsi"/>
          <w:lang w:val="en-AU"/>
        </w:rPr>
        <w:t xml:space="preserve">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22D2ACEE" w14:textId="77777777" w:rsidR="00930229" w:rsidRPr="00D85957" w:rsidRDefault="00930229" w:rsidP="00CB4DEB">
      <w:pPr>
        <w:rPr>
          <w:rFonts w:cstheme="minorHAnsi"/>
          <w:b/>
        </w:rPr>
      </w:pPr>
      <w:r w:rsidRPr="00D85957">
        <w:rPr>
          <w:rFonts w:cstheme="minorHAnsi"/>
          <w:b/>
        </w:rPr>
        <w:t>Christchurch District Plan</w:t>
      </w:r>
    </w:p>
    <w:p w14:paraId="0740D96A" w14:textId="77777777" w:rsidR="00930229" w:rsidRPr="00D85957" w:rsidRDefault="00930229" w:rsidP="00930229">
      <w:pPr>
        <w:jc w:val="both"/>
        <w:rPr>
          <w:rFonts w:eastAsia="Times New Roman" w:cstheme="minorHAnsi"/>
        </w:rPr>
      </w:pPr>
    </w:p>
    <w:p w14:paraId="5DE17EC3" w14:textId="77777777" w:rsidR="00930229" w:rsidRPr="00D85957" w:rsidRDefault="00206AAE" w:rsidP="00930229">
      <w:pPr>
        <w:jc w:val="both"/>
        <w:rPr>
          <w:rFonts w:eastAsia="Times New Roman" w:cstheme="minorHAnsi"/>
          <w:bCs/>
          <w:i/>
          <w:color w:val="FF0000"/>
        </w:rPr>
      </w:pPr>
      <w:r w:rsidRPr="00D85957">
        <w:rPr>
          <w:rFonts w:eastAsia="Times New Roman" w:cstheme="minorHAnsi"/>
          <w:bCs/>
        </w:rPr>
        <w:t xml:space="preserve">The site is zoned + </w:t>
      </w:r>
      <w:r w:rsidR="001E5EFF" w:rsidRPr="00D85957">
        <w:rPr>
          <w:rFonts w:eastAsia="Times New Roman" w:cstheme="minorHAnsi"/>
          <w:bCs/>
        </w:rPr>
        <w:t>in the Christchurch District Plan.</w:t>
      </w:r>
      <w:r w:rsidR="004E18A4" w:rsidRPr="00D85957">
        <w:rPr>
          <w:rFonts w:eastAsia="Times New Roman" w:cstheme="minorHAnsi"/>
          <w:bCs/>
        </w:rPr>
        <w:t xml:space="preserve"> </w:t>
      </w:r>
      <w:r w:rsidR="005C0646" w:rsidRPr="00D85957">
        <w:rPr>
          <w:rFonts w:eastAsia="Times New Roman" w:cstheme="minorHAnsi"/>
          <w:bCs/>
          <w:color w:val="FF0000"/>
        </w:rPr>
        <w:t>[Zone purpose only if required for context]</w:t>
      </w:r>
    </w:p>
    <w:p w14:paraId="2EC8F514" w14:textId="77777777" w:rsidR="00930229" w:rsidRPr="00D85957" w:rsidRDefault="00930229" w:rsidP="00930229">
      <w:pPr>
        <w:jc w:val="both"/>
        <w:rPr>
          <w:rFonts w:eastAsia="Times New Roman" w:cstheme="minorHAnsi"/>
          <w:iCs/>
        </w:rPr>
      </w:pPr>
    </w:p>
    <w:p w14:paraId="6E6ECBDE"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The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rules</w:t>
      </w:r>
      <w:r w:rsidR="000B7D8F" w:rsidRPr="00D85957">
        <w:rPr>
          <w:rFonts w:eastAsia="Times New Roman" w:cstheme="minorHAnsi"/>
          <w:iCs/>
        </w:rPr>
        <w:t xml:space="preserve"> in the District Plan</w:t>
      </w:r>
      <w:r w:rsidRPr="00D85957">
        <w:rPr>
          <w:rFonts w:eastAsia="Times New Roman" w:cstheme="minorHAnsi"/>
          <w:iCs/>
        </w:rPr>
        <w:t>:</w:t>
      </w:r>
    </w:p>
    <w:p w14:paraId="2B8FE80E" w14:textId="77777777" w:rsidR="004E18A4" w:rsidRPr="00D85957" w:rsidRDefault="004E18A4" w:rsidP="004E18A4">
      <w:pPr>
        <w:rPr>
          <w:rFonts w:cstheme="minorHAnsi"/>
          <w:b/>
          <w:bCs/>
          <w:i/>
          <w:color w:val="FF0000"/>
        </w:rPr>
      </w:pPr>
      <w:hyperlink r:id="rId9"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4AC623D9" w14:textId="77777777" w:rsidR="00930229" w:rsidRPr="00D8595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D85957" w14:paraId="6D3929D1" w14:textId="77777777" w:rsidTr="00D85957">
        <w:trPr>
          <w:tblHeader/>
        </w:trPr>
        <w:tc>
          <w:tcPr>
            <w:tcW w:w="1560" w:type="dxa"/>
            <w:shd w:val="clear" w:color="auto" w:fill="F2F2F2"/>
            <w:vAlign w:val="center"/>
          </w:tcPr>
          <w:p w14:paraId="2E5A0F9A" w14:textId="77777777" w:rsidR="00930229" w:rsidRPr="00D85957" w:rsidRDefault="00930229" w:rsidP="00930229">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vAlign w:val="center"/>
          </w:tcPr>
          <w:p w14:paraId="501563A2" w14:textId="77777777" w:rsidR="00930229" w:rsidRPr="00D85957" w:rsidRDefault="00930229" w:rsidP="00930229">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5F9C0BC6" w14:textId="77777777" w:rsidR="00930229" w:rsidRPr="00D85957" w:rsidRDefault="00930229" w:rsidP="00930229">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007CA78A" w14:textId="77777777" w:rsidR="00930229" w:rsidRPr="00D85957" w:rsidRDefault="00930229" w:rsidP="00447AF7">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49340F3B" w14:textId="77777777" w:rsidR="00930229" w:rsidRPr="00D85957" w:rsidRDefault="00930229" w:rsidP="00930229">
            <w:pPr>
              <w:jc w:val="both"/>
              <w:rPr>
                <w:rFonts w:eastAsia="Times New Roman" w:cstheme="minorHAnsi"/>
                <w:b/>
                <w:iCs/>
              </w:rPr>
            </w:pPr>
            <w:r w:rsidRPr="00D85957">
              <w:rPr>
                <w:rFonts w:eastAsia="Times New Roman" w:cstheme="minorHAnsi"/>
                <w:b/>
                <w:iCs/>
              </w:rPr>
              <w:t>Notification clause</w:t>
            </w:r>
          </w:p>
        </w:tc>
      </w:tr>
      <w:tr w:rsidR="00930229" w:rsidRPr="00D85957" w14:paraId="022EBA08" w14:textId="77777777" w:rsidTr="00D85957">
        <w:tc>
          <w:tcPr>
            <w:tcW w:w="1560" w:type="dxa"/>
            <w:shd w:val="clear" w:color="auto" w:fill="auto"/>
          </w:tcPr>
          <w:p w14:paraId="450624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17C61E0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267AF91E"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56B3B011"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4676508C"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43FCD291"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5526D7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4E392AE0"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930229" w:rsidRPr="00D85957" w14:paraId="289EFF10" w14:textId="77777777" w:rsidTr="00D85957">
        <w:tc>
          <w:tcPr>
            <w:tcW w:w="1560" w:type="dxa"/>
            <w:shd w:val="clear" w:color="auto" w:fill="auto"/>
          </w:tcPr>
          <w:p w14:paraId="55A3728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7A6DE35C"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64B83F59" w14:textId="77777777" w:rsidR="00930229" w:rsidRPr="00D85957" w:rsidRDefault="00930229" w:rsidP="00D85957">
            <w:pPr>
              <w:spacing w:before="60" w:after="60"/>
              <w:rPr>
                <w:rFonts w:eastAsia="Times New Roman" w:cstheme="minorHAnsi"/>
                <w:iCs/>
                <w:color w:val="FF0000"/>
                <w:sz w:val="18"/>
                <w:szCs w:val="18"/>
              </w:rPr>
            </w:pPr>
          </w:p>
        </w:tc>
        <w:tc>
          <w:tcPr>
            <w:tcW w:w="2268" w:type="dxa"/>
            <w:shd w:val="clear" w:color="auto" w:fill="auto"/>
          </w:tcPr>
          <w:p w14:paraId="0B632E26" w14:textId="77777777" w:rsidR="00930229" w:rsidRPr="00D85957" w:rsidRDefault="00930229" w:rsidP="00D85957">
            <w:pPr>
              <w:spacing w:before="60" w:after="60"/>
              <w:rPr>
                <w:rFonts w:eastAsia="Times New Roman" w:cstheme="minorHAnsi"/>
                <w:iCs/>
                <w:color w:val="FF0000"/>
                <w:sz w:val="18"/>
                <w:szCs w:val="18"/>
              </w:rPr>
            </w:pPr>
          </w:p>
        </w:tc>
        <w:tc>
          <w:tcPr>
            <w:tcW w:w="1701" w:type="dxa"/>
            <w:shd w:val="clear" w:color="auto" w:fill="auto"/>
          </w:tcPr>
          <w:p w14:paraId="76EE2219" w14:textId="77777777" w:rsidR="00930229" w:rsidRPr="00D85957" w:rsidRDefault="00930229" w:rsidP="00D85957">
            <w:pPr>
              <w:spacing w:before="60" w:after="60"/>
              <w:rPr>
                <w:rFonts w:eastAsia="Times New Roman" w:cstheme="minorHAnsi"/>
                <w:iCs/>
                <w:color w:val="FF0000"/>
                <w:sz w:val="18"/>
                <w:szCs w:val="18"/>
              </w:rPr>
            </w:pPr>
          </w:p>
        </w:tc>
      </w:tr>
      <w:tr w:rsidR="00930229" w:rsidRPr="00D85957" w14:paraId="38DC5D39" w14:textId="77777777" w:rsidTr="00D85957">
        <w:tc>
          <w:tcPr>
            <w:tcW w:w="1560" w:type="dxa"/>
            <w:tcBorders>
              <w:top w:val="single" w:sz="4" w:space="0" w:color="auto"/>
              <w:left w:val="single" w:sz="4" w:space="0" w:color="auto"/>
              <w:bottom w:val="single" w:sz="4" w:space="0" w:color="auto"/>
              <w:right w:val="single" w:sz="4" w:space="0" w:color="auto"/>
            </w:tcBorders>
            <w:shd w:val="clear" w:color="auto" w:fill="auto"/>
          </w:tcPr>
          <w:p w14:paraId="76ABC487" w14:textId="77777777" w:rsidR="00930229" w:rsidRPr="00D85957" w:rsidRDefault="00930229" w:rsidP="00D85957">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F6654" w14:textId="77777777" w:rsidR="00930229" w:rsidRPr="00D85957" w:rsidRDefault="00930229" w:rsidP="00D85957">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2584F3" w14:textId="77777777" w:rsidR="00930229" w:rsidRPr="00D85957" w:rsidRDefault="00930229" w:rsidP="00D85957">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6A2F59" w14:textId="77777777" w:rsidR="00930229" w:rsidRPr="00D85957" w:rsidRDefault="00930229" w:rsidP="00D85957">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757B4" w14:textId="77777777" w:rsidR="00930229" w:rsidRPr="00D85957" w:rsidRDefault="00930229" w:rsidP="00D85957">
            <w:pPr>
              <w:spacing w:before="60" w:after="60"/>
              <w:rPr>
                <w:rFonts w:eastAsia="Times New Roman" w:cstheme="minorHAnsi"/>
                <w:iCs/>
                <w:color w:val="FF0000"/>
                <w:sz w:val="18"/>
                <w:szCs w:val="18"/>
              </w:rPr>
            </w:pPr>
          </w:p>
        </w:tc>
      </w:tr>
    </w:tbl>
    <w:p w14:paraId="78F11C76" w14:textId="77777777" w:rsidR="00930229" w:rsidRPr="00D85957" w:rsidRDefault="00930229" w:rsidP="00930229">
      <w:pPr>
        <w:jc w:val="both"/>
        <w:rPr>
          <w:rFonts w:eastAsia="Times New Roman" w:cstheme="minorHAnsi"/>
          <w:bCs/>
        </w:rPr>
      </w:pPr>
    </w:p>
    <w:p w14:paraId="794BF982" w14:textId="77777777" w:rsidR="009F085C" w:rsidRPr="009F085C" w:rsidRDefault="009F085C" w:rsidP="009F085C">
      <w:pPr>
        <w:jc w:val="both"/>
        <w:rPr>
          <w:rFonts w:ascii="Calibri" w:eastAsia="Times New Roman" w:hAnsi="Calibri" w:cs="Calibri"/>
          <w:iCs/>
        </w:rPr>
      </w:pPr>
      <w:r w:rsidRPr="009F085C">
        <w:rPr>
          <w:rFonts w:ascii="Calibri" w:eastAsia="Times New Roman" w:hAnsi="Calibri" w:cs="Calibri"/>
          <w:iCs/>
        </w:rPr>
        <w:t xml:space="preserve">For completeness I note that: </w:t>
      </w:r>
      <w:r w:rsidRPr="009F085C">
        <w:rPr>
          <w:rFonts w:ascii="Calibri" w:eastAsia="Times New Roman" w:hAnsi="Calibri" w:cs="Calibri"/>
          <w:i/>
          <w:color w:val="FF0000"/>
        </w:rPr>
        <w:t>add/delete/edit as relevant</w:t>
      </w:r>
    </w:p>
    <w:p w14:paraId="72AFF898" w14:textId="1B88D355"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Earthworks are exempt under Rule 8.9.3.</w:t>
      </w:r>
      <w:r w:rsidR="00F65FFD">
        <w:rPr>
          <w:rFonts w:ascii="Calibri" w:eastAsia="Calibri" w:hAnsi="Calibri" w:cs="Calibri"/>
          <w:bCs/>
          <w:color w:val="000000" w:themeColor="text1"/>
        </w:rPr>
        <w:t>a.</w:t>
      </w:r>
      <w:r w:rsidRPr="009F085C">
        <w:rPr>
          <w:rFonts w:ascii="Calibri" w:eastAsia="Calibri" w:hAnsi="Calibri" w:cs="Calibri"/>
          <w:bCs/>
          <w:color w:val="000000" w:themeColor="text1"/>
        </w:rPr>
        <w:t xml:space="preserve">iv </w:t>
      </w:r>
      <w:r w:rsidR="00F65FFD">
        <w:rPr>
          <w:rFonts w:ascii="Calibri" w:eastAsia="Calibri" w:hAnsi="Calibri" w:cs="Calibri"/>
          <w:bCs/>
          <w:color w:val="000000" w:themeColor="text1"/>
        </w:rPr>
        <w:t xml:space="preserve">as the applicant has confirmed </w:t>
      </w:r>
      <w:r w:rsidR="00F65FFD" w:rsidRPr="00F65FFD">
        <w:rPr>
          <w:rFonts w:ascii="Calibri" w:eastAsia="Calibri" w:hAnsi="Calibri" w:cs="Calibri"/>
          <w:bCs/>
          <w:i/>
          <w:iCs/>
          <w:color w:val="FF0000"/>
        </w:rPr>
        <w:t>check</w:t>
      </w:r>
      <w:r w:rsidR="00F65FFD">
        <w:rPr>
          <w:rFonts w:ascii="Calibri" w:eastAsia="Calibri" w:hAnsi="Calibri" w:cs="Calibri"/>
          <w:bCs/>
          <w:color w:val="000000" w:themeColor="text1"/>
        </w:rPr>
        <w:t xml:space="preserve"> </w:t>
      </w:r>
      <w:r w:rsidRPr="009F085C">
        <w:rPr>
          <w:rFonts w:ascii="Calibri" w:eastAsia="Calibri" w:hAnsi="Calibri" w:cs="Calibri"/>
          <w:bCs/>
          <w:color w:val="000000" w:themeColor="text1"/>
        </w:rPr>
        <w:t xml:space="preserve">no earthworks will commence within the building footprint (as defined in the District Plan) until building consent has been issued. </w:t>
      </w:r>
    </w:p>
    <w:p w14:paraId="63E0CF89" w14:textId="59AB91BB"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Acoustic insulation: </w:t>
      </w:r>
      <w:r w:rsidRPr="009F085C">
        <w:rPr>
          <w:rFonts w:ascii="Calibri" w:eastAsia="Calibri" w:hAnsi="Calibri" w:cs="Calibri"/>
          <w:bCs/>
          <w:color w:val="000000" w:themeColor="text1"/>
        </w:rPr>
        <w:t xml:space="preserve">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however acoustic insulation is not required as the exemption in Rule 6.1.7.2.1.a.i. </w:t>
      </w:r>
      <w:r w:rsidRPr="009F085C">
        <w:rPr>
          <w:rFonts w:ascii="Calibri" w:eastAsia="Calibri" w:hAnsi="Calibri" w:cs="Calibri"/>
          <w:bCs/>
          <w:color w:val="FF0000"/>
        </w:rPr>
        <w:t xml:space="preserve">A / B </w:t>
      </w:r>
      <w:r w:rsidRPr="009F085C">
        <w:rPr>
          <w:rFonts w:ascii="Calibri" w:eastAsia="Calibri" w:hAnsi="Calibri" w:cs="Calibri"/>
          <w:bCs/>
          <w:color w:val="000000" w:themeColor="text1"/>
        </w:rPr>
        <w:t xml:space="preserve">applies. </w:t>
      </w:r>
      <w:r w:rsidRPr="009F085C">
        <w:rPr>
          <w:rFonts w:ascii="Calibri" w:eastAsia="Calibri" w:hAnsi="Calibri" w:cs="Calibri"/>
          <w:bCs/>
          <w:color w:val="FF0000"/>
        </w:rPr>
        <w:t xml:space="preserve">OR </w:t>
      </w:r>
      <w:r w:rsidRPr="009F085C">
        <w:rPr>
          <w:rFonts w:ascii="Calibri" w:eastAsia="Calibri" w:hAnsi="Calibri" w:cs="Calibri"/>
          <w:bCs/>
          <w:color w:val="000000" w:themeColor="text1"/>
        </w:rPr>
        <w:t xml:space="preserve">Rule 6.1.7.2.1 Sensitive activities near roads and railways applies as 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and the necessary acoustic information will be provided with the building consent. </w:t>
      </w:r>
      <w:r w:rsidR="00B32583"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B32583" w:rsidRPr="00B32583">
        <w:rPr>
          <w:rFonts w:ascii="Calibri" w:eastAsia="Calibri" w:hAnsi="Calibri" w:cs="Calibri"/>
          <w:b/>
          <w:bCs/>
          <w:i/>
          <w:iCs/>
          <w:color w:val="FF0000"/>
          <w:u w:val="single"/>
          <w:lang w:val="en-AU"/>
        </w:rPr>
        <w:t>If no report or EHO acceptance of a report, trigger this as a non-compliance and RFI the report.</w:t>
      </w:r>
    </w:p>
    <w:p w14:paraId="42869F66" w14:textId="77777777"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Landscaping: </w:t>
      </w:r>
      <w:r w:rsidRPr="009F085C">
        <w:rPr>
          <w:rFonts w:ascii="Calibri" w:eastAsia="Calibri" w:hAnsi="Calibri" w:cs="Calibri"/>
          <w:bCs/>
          <w:color w:val="000000" w:themeColor="text1"/>
        </w:rPr>
        <w:t xml:space="preserve">Compliance with Rule 14.12.2.7 Landscaping will be achieved by the provision of 2m wide landscaping along the road boundary. </w:t>
      </w:r>
    </w:p>
    <w:p w14:paraId="419DE3B9" w14:textId="77777777" w:rsidR="009F085C" w:rsidRPr="009F085C" w:rsidRDefault="009F085C" w:rsidP="009F085C">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6135F79D"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6E691FD8"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41A9B2C3" w14:textId="77777777" w:rsidR="008F3B50" w:rsidRPr="00D85957" w:rsidRDefault="008F3B50" w:rsidP="00930229">
      <w:pPr>
        <w:jc w:val="both"/>
        <w:rPr>
          <w:rFonts w:cstheme="minorHAnsi"/>
          <w:b/>
        </w:rPr>
      </w:pPr>
    </w:p>
    <w:p w14:paraId="48EAD0D8" w14:textId="71D2DE5E" w:rsidR="00DF5D41" w:rsidRPr="00D85957" w:rsidRDefault="001527A6" w:rsidP="00930229">
      <w:pPr>
        <w:jc w:val="both"/>
        <w:rPr>
          <w:rFonts w:cstheme="minorHAnsi"/>
          <w:b/>
        </w:rPr>
      </w:pPr>
      <w:r w:rsidRPr="00D85957">
        <w:rPr>
          <w:rFonts w:cstheme="minorHAnsi"/>
          <w:b/>
        </w:rPr>
        <w:t>P</w:t>
      </w:r>
      <w:r w:rsidR="00DF5D41" w:rsidRPr="00D85957">
        <w:rPr>
          <w:rFonts w:cstheme="minorHAnsi"/>
          <w:b/>
        </w:rPr>
        <w:t>roposed Plan Change 14</w:t>
      </w:r>
      <w:r w:rsidR="00556679" w:rsidRPr="00D85957">
        <w:rPr>
          <w:rFonts w:cstheme="minorHAnsi"/>
          <w:b/>
        </w:rPr>
        <w:t xml:space="preserve"> Housing and Business Choice</w:t>
      </w:r>
    </w:p>
    <w:p w14:paraId="735AD5A4" w14:textId="77777777" w:rsidR="00DF5D41" w:rsidRPr="00D85957" w:rsidRDefault="00DF5D41" w:rsidP="00930229">
      <w:pPr>
        <w:jc w:val="both"/>
        <w:rPr>
          <w:rFonts w:cstheme="minorHAnsi"/>
          <w:b/>
        </w:rPr>
      </w:pPr>
    </w:p>
    <w:p w14:paraId="1419090C" w14:textId="77777777" w:rsidR="00D74D2D" w:rsidRDefault="00D74D2D" w:rsidP="00D74D2D">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0"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w:t>
      </w:r>
    </w:p>
    <w:p w14:paraId="1F7CBC12" w14:textId="77777777" w:rsidR="00D74D2D" w:rsidRDefault="00D74D2D" w:rsidP="00D74D2D">
      <w:pPr>
        <w:jc w:val="both"/>
        <w:rPr>
          <w:rFonts w:eastAsia="Times New Roman" w:cstheme="minorHAnsi"/>
          <w:iCs/>
        </w:rPr>
      </w:pPr>
    </w:p>
    <w:p w14:paraId="0F47C68C" w14:textId="77777777" w:rsidR="00D74D2D" w:rsidRPr="007F6577" w:rsidRDefault="00D74D2D" w:rsidP="00D74D2D">
      <w:pPr>
        <w:jc w:val="both"/>
        <w:rPr>
          <w:rFonts w:eastAsia="Times New Roman" w:cstheme="minorHAnsi"/>
          <w:iCs/>
          <w:highlight w:val="yellow"/>
        </w:rPr>
      </w:pPr>
      <w:r w:rsidRPr="00283689">
        <w:rPr>
          <w:rFonts w:eastAsia="Times New Roman" w:cstheme="minorHAnsi"/>
          <w:iCs/>
        </w:rPr>
        <w:t>In terms of PC14 and the MDRS, the site is identified as being within a qualifying matter area</w:t>
      </w:r>
      <w:r w:rsidRPr="00283689">
        <w:rPr>
          <w:rFonts w:eastAsia="Times New Roman" w:cstheme="minorHAnsi"/>
          <w:iCs/>
          <w:color w:val="FF0000"/>
        </w:rPr>
        <w:t xml:space="preserve"> [describe QM that applies]</w:t>
      </w:r>
      <w:r w:rsidRPr="00283689">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4F98B1B0" w14:textId="77777777" w:rsidR="00D74D2D" w:rsidRPr="007F6577" w:rsidRDefault="00D74D2D" w:rsidP="00D74D2D">
      <w:pPr>
        <w:jc w:val="both"/>
        <w:rPr>
          <w:rFonts w:eastAsia="Times New Roman" w:cstheme="minorHAnsi"/>
          <w:iCs/>
          <w:highlight w:val="yellow"/>
        </w:rPr>
      </w:pPr>
    </w:p>
    <w:p w14:paraId="59450A0D" w14:textId="1905B138" w:rsidR="00D7453B" w:rsidRDefault="00D7453B" w:rsidP="00D7453B">
      <w:pPr>
        <w:jc w:val="both"/>
        <w:rPr>
          <w:rFonts w:eastAsia="Times New Roman" w:cstheme="minorHAnsi"/>
          <w:i/>
          <w:color w:val="FF0000"/>
        </w:rPr>
      </w:pPr>
      <w:bookmarkStart w:id="1" w:name="_Hlk141976457"/>
      <w:bookmarkStart w:id="2" w:name="_Hlk177647982"/>
      <w:bookmarkStart w:id="3" w:name="_Hlk177649272"/>
      <w:r w:rsidRPr="00240E35">
        <w:rPr>
          <w:rFonts w:cstheme="minorHAnsi"/>
          <w:iCs/>
        </w:rPr>
        <w:t>The Independent Hearings Panel’s recommendations were released on 30 July 2024</w:t>
      </w:r>
      <w:bookmarkEnd w:id="1"/>
      <w:r w:rsidRPr="00240E35">
        <w:rPr>
          <w:rFonts w:cstheme="minorHAnsi"/>
          <w:iCs/>
        </w:rPr>
        <w:t>. Decisions made to date are not relevant to this application</w:t>
      </w:r>
      <w:r w:rsidRPr="00240E35">
        <w:rPr>
          <w:rFonts w:eastAsia="Times New Roman" w:cstheme="minorHAnsi"/>
          <w:iCs/>
        </w:rPr>
        <w:t>.</w:t>
      </w:r>
      <w:bookmarkEnd w:id="2"/>
      <w:r w:rsidR="00F611D9">
        <w:rPr>
          <w:rFonts w:eastAsia="Times New Roman" w:cstheme="minorHAnsi"/>
          <w:iCs/>
        </w:rPr>
        <w:t xml:space="preserve"> </w:t>
      </w:r>
      <w:r w:rsidR="00F611D9" w:rsidRPr="00F611D9">
        <w:rPr>
          <w:rFonts w:eastAsia="Times New Roman" w:cstheme="minorHAnsi"/>
          <w:i/>
          <w:color w:val="FF0000"/>
        </w:rPr>
        <w:t>(sites not subject to any decisions yet)</w:t>
      </w:r>
    </w:p>
    <w:p w14:paraId="61567F56" w14:textId="77777777" w:rsidR="00F611D9" w:rsidRDefault="00F611D9" w:rsidP="00D7453B">
      <w:pPr>
        <w:jc w:val="both"/>
        <w:rPr>
          <w:rFonts w:eastAsia="Times New Roman" w:cstheme="minorHAnsi"/>
          <w:iCs/>
        </w:rPr>
      </w:pPr>
    </w:p>
    <w:bookmarkEnd w:id="3"/>
    <w:p w14:paraId="458FB0F4" w14:textId="4A51F46D" w:rsidR="00F611D9" w:rsidRDefault="00F611D9" w:rsidP="00F611D9">
      <w:pPr>
        <w:jc w:val="both"/>
        <w:rPr>
          <w:rFonts w:eastAsia="Times New Roman" w:cstheme="minorHAnsi"/>
          <w:iCs/>
        </w:rPr>
      </w:pPr>
      <w:r w:rsidRPr="00240E35">
        <w:rPr>
          <w:rFonts w:cstheme="minorHAnsi"/>
          <w:iCs/>
        </w:rPr>
        <w:t xml:space="preserve">The Independent Hearings Panel’s recommendations were released on 30 July 2024. </w:t>
      </w:r>
      <w:r>
        <w:rPr>
          <w:rFonts w:cstheme="minorHAnsi"/>
          <w:iCs/>
        </w:rPr>
        <w:t>On 3 September 2025 the Council accepted the Panel’s recommendation to rezone the application site Medium Density Residential. This zoning and associated rules and qualifying matters are now treated as operative under s86F</w:t>
      </w:r>
      <w:r w:rsidR="007A5D00">
        <w:rPr>
          <w:rFonts w:cstheme="minorHAnsi"/>
          <w:iCs/>
        </w:rPr>
        <w:t xml:space="preserve"> for this property,</w:t>
      </w:r>
      <w:r>
        <w:rPr>
          <w:rFonts w:cstheme="minorHAnsi"/>
          <w:iCs/>
        </w:rPr>
        <w:t xml:space="preserve"> and the former zoning treated as inoperative. </w:t>
      </w:r>
      <w:r>
        <w:rPr>
          <w:rFonts w:eastAsia="Times New Roman" w:cstheme="minorHAnsi"/>
          <w:iCs/>
        </w:rPr>
        <w:t xml:space="preserve"> </w:t>
      </w:r>
      <w:r w:rsidRPr="00F611D9">
        <w:rPr>
          <w:rFonts w:eastAsia="Times New Roman" w:cstheme="minorHAnsi"/>
          <w:i/>
          <w:color w:val="FF0000"/>
        </w:rPr>
        <w:t xml:space="preserve">(sites </w:t>
      </w:r>
      <w:r>
        <w:rPr>
          <w:rFonts w:eastAsia="Times New Roman" w:cstheme="minorHAnsi"/>
          <w:i/>
          <w:color w:val="FF0000"/>
        </w:rPr>
        <w:t>subject to 3/9/25 decision</w:t>
      </w:r>
      <w:r w:rsidRPr="00F611D9">
        <w:rPr>
          <w:rFonts w:eastAsia="Times New Roman" w:cstheme="minorHAnsi"/>
          <w:i/>
          <w:color w:val="FF0000"/>
        </w:rPr>
        <w:t>)</w:t>
      </w:r>
    </w:p>
    <w:p w14:paraId="3484651F" w14:textId="77777777" w:rsidR="00F611D9" w:rsidRPr="00D85957" w:rsidRDefault="00F611D9">
      <w:pPr>
        <w:jc w:val="both"/>
        <w:rPr>
          <w:rFonts w:eastAsia="Times New Roman" w:cstheme="minorHAnsi"/>
          <w:b/>
          <w:iCs/>
          <w:color w:val="FF0000"/>
          <w:lang w:val="en-AU"/>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1"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w:t>
      </w:r>
      <w:proofErr w:type="gramStart"/>
      <w:r w:rsidRPr="00D85957">
        <w:rPr>
          <w:rFonts w:eastAsia="Times New Roman" w:cstheme="minorHAnsi"/>
          <w:bCs/>
          <w:color w:val="000000"/>
          <w:lang w:val="en-AU"/>
        </w:rPr>
        <w:t>land</w:t>
      </w:r>
      <w:proofErr w:type="gramEnd"/>
      <w:r w:rsidRPr="00D85957">
        <w:rPr>
          <w:rFonts w:eastAsia="Times New Roman" w:cstheme="minorHAnsi"/>
          <w:bCs/>
          <w:color w:val="000000"/>
          <w:lang w:val="en-AU"/>
        </w:rPr>
        <w:t xml:space="preserve">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The volume of soil to be removed from the site will </w:t>
            </w:r>
            <w:r w:rsidRPr="00D85957">
              <w:rPr>
                <w:rFonts w:eastAsia="Times New Roman" w:cstheme="minorHAnsi"/>
                <w:iCs/>
                <w:color w:val="FF0000"/>
                <w:sz w:val="18"/>
                <w:szCs w:val="18"/>
              </w:rPr>
              <w:lastRenderedPageBreak/>
              <w:t>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proofErr w:type="spellStart"/>
      <w:r w:rsidR="008625C2" w:rsidRPr="00D85957">
        <w:rPr>
          <w:rFonts w:eastAsia="Times New Roman" w:cstheme="minorHAnsi"/>
          <w:lang w:val="en-AU"/>
        </w:rPr>
        <w:t>ny</w:t>
      </w:r>
      <w:proofErr w:type="spellEnd"/>
      <w:r w:rsidR="008625C2" w:rsidRPr="00D85957">
        <w:rPr>
          <w:rFonts w:eastAsia="Times New Roman" w:cstheme="minorHAnsi"/>
          <w:lang w:val="en-AU"/>
        </w:rPr>
        <w:t xml:space="preserve">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52FAF402" w:rsidR="00DB3BEA" w:rsidRPr="00D85957" w:rsidRDefault="00556679" w:rsidP="00EC58E5">
      <w:pPr>
        <w:jc w:val="both"/>
        <w:rPr>
          <w:rFonts w:eastAsia="Times New Roman" w:cstheme="minorHAnsi"/>
        </w:rPr>
      </w:pPr>
      <w:r w:rsidRPr="00D85957">
        <w:rPr>
          <w:rFonts w:eastAsia="Times New Roman" w:cstheme="minorHAnsi"/>
        </w:rPr>
        <w:lastRenderedPageBreak/>
        <w:t>The objectives and policies in the District Plan set the context for assessing the effects of the application</w:t>
      </w:r>
      <w:r w:rsidR="00FA03A4" w:rsidRPr="00D85957">
        <w:rPr>
          <w:rFonts w:eastAsia="Times New Roman" w:cstheme="minorHAnsi"/>
        </w:rPr>
        <w:t xml:space="preserve">. I note </w:t>
      </w:r>
      <w:r w:rsidRPr="00D85957">
        <w:rPr>
          <w:rFonts w:eastAsia="Times New Roman" w:cstheme="minorHAnsi"/>
        </w:rPr>
        <w:t xml:space="preserve">that the MDRS objectives and policies introduced in PC14 do not apply in </w:t>
      </w:r>
      <w:r w:rsidRPr="00D85957">
        <w:rPr>
          <w:rFonts w:eastAsia="Times New Roman" w:cstheme="minorHAnsi"/>
          <w:color w:val="FF0000"/>
        </w:rPr>
        <w:t>qualifying matter areas</w:t>
      </w:r>
      <w:r w:rsidR="00DB3BEA" w:rsidRPr="00D85957">
        <w:rPr>
          <w:rFonts w:eastAsia="Times New Roman" w:cstheme="minorHAnsi"/>
        </w:rPr>
        <w:t>,</w:t>
      </w:r>
      <w:r w:rsidRPr="00D85957">
        <w:rPr>
          <w:rFonts w:eastAsia="Times New Roman" w:cstheme="minorHAnsi"/>
        </w:rPr>
        <w:t xml:space="preserve"> and the other new</w:t>
      </w:r>
      <w:r w:rsidR="00FA03A4" w:rsidRPr="00D85957">
        <w:rPr>
          <w:rFonts w:eastAsia="Times New Roman" w:cstheme="minorHAnsi"/>
        </w:rPr>
        <w:t>/amended</w:t>
      </w:r>
      <w:r w:rsidRPr="00D85957">
        <w:rPr>
          <w:rFonts w:eastAsia="Times New Roman" w:cstheme="minorHAnsi"/>
        </w:rPr>
        <w:t xml:space="preserve"> policies are open to challenge</w:t>
      </w:r>
      <w:r w:rsidR="00E404FE" w:rsidRPr="00D85957">
        <w:rPr>
          <w:rFonts w:eastAsia="Times New Roman" w:cstheme="minorHAnsi"/>
        </w:rPr>
        <w:t xml:space="preserve"> via the plan change process</w:t>
      </w:r>
      <w:r w:rsidR="00C4798A" w:rsidRPr="00D85957">
        <w:rPr>
          <w:rFonts w:eastAsia="Times New Roman" w:cstheme="minorHAnsi"/>
        </w:rPr>
        <w:t>.</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Pr="00D85957" w:rsidRDefault="0070081B" w:rsidP="00EC58E5">
      <w:pPr>
        <w:jc w:val="both"/>
        <w:rPr>
          <w:rFonts w:eastAsia="Times New Roman" w:cstheme="minorHAnsi"/>
          <w:iCs/>
          <w:color w:val="FF0000"/>
          <w:lang w:val="en-AU"/>
        </w:rPr>
      </w:pPr>
      <w:r w:rsidRPr="00D85957">
        <w:rPr>
          <w:rFonts w:eastAsia="Times New Roman" w:cstheme="minorHAnsi"/>
          <w:bCs/>
          <w:iCs/>
          <w:lang w:val="en-AU"/>
        </w:rPr>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6B49647E" w14:textId="77777777" w:rsidR="0070081B" w:rsidRPr="00D85957" w:rsidRDefault="0070081B" w:rsidP="00EC58E5">
      <w:pPr>
        <w:jc w:val="both"/>
        <w:rPr>
          <w:rFonts w:eastAsia="Times New Roman" w:cstheme="minorHAnsi"/>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w:t>
      </w:r>
      <w:proofErr w:type="gramStart"/>
      <w:r w:rsidRPr="00D85957">
        <w:rPr>
          <w:rFonts w:eastAsia="Times New Roman" w:cstheme="minorHAnsi"/>
          <w:iCs/>
          <w:color w:val="FF0000"/>
          <w:lang w:val="en-AU"/>
        </w:rPr>
        <w:t>a number of</w:t>
      </w:r>
      <w:proofErr w:type="gramEnd"/>
      <w:r w:rsidRPr="00D85957">
        <w:rPr>
          <w:rFonts w:eastAsia="Times New Roman" w:cstheme="minorHAnsi"/>
          <w:iCs/>
          <w:color w:val="FF0000"/>
          <w:lang w:val="en-AU"/>
        </w:rPr>
        <w:t xml:space="preserve"> conditions relating to [+]. These form / are deemed to form part of the application and can be </w:t>
      </w:r>
      <w:proofErr w:type="gramStart"/>
      <w:r w:rsidRPr="00D85957">
        <w:rPr>
          <w:rFonts w:eastAsia="Times New Roman" w:cstheme="minorHAnsi"/>
          <w:iCs/>
          <w:color w:val="FF0000"/>
          <w:lang w:val="en-AU"/>
        </w:rPr>
        <w:t>taken into account</w:t>
      </w:r>
      <w:proofErr w:type="gramEnd"/>
      <w:r w:rsidRPr="00D85957">
        <w:rPr>
          <w:rFonts w:eastAsia="Times New Roman" w:cstheme="minorHAnsi"/>
          <w:iCs/>
          <w:color w:val="FF0000"/>
          <w:lang w:val="en-AU"/>
        </w:rPr>
        <w:t xml:space="preserve">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Pr="00D85957" w:rsidRDefault="005C64A7" w:rsidP="00EC58E5">
      <w:pPr>
        <w:jc w:val="both"/>
        <w:rPr>
          <w:rFonts w:eastAsia="Times New Roman" w:cstheme="minorHAnsi"/>
          <w:i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7B616AE5" w14:textId="77777777" w:rsidR="0076561B" w:rsidRDefault="0076561B" w:rsidP="00EC58E5">
      <w:pPr>
        <w:jc w:val="both"/>
        <w:rPr>
          <w:rFonts w:eastAsia="Times New Roman" w:cstheme="minorHAnsi"/>
          <w:iCs/>
          <w:color w:val="FF0000"/>
        </w:rPr>
      </w:pPr>
    </w:p>
    <w:p w14:paraId="049E3E70" w14:textId="77777777" w:rsidR="00390945" w:rsidRPr="00730880" w:rsidRDefault="00390945" w:rsidP="00390945">
      <w:pPr>
        <w:jc w:val="both"/>
        <w:rPr>
          <w:rFonts w:eastAsia="Times New Roman" w:cstheme="minorHAnsi"/>
          <w:b/>
          <w:bCs/>
          <w:iCs/>
        </w:rPr>
      </w:pPr>
      <w:r w:rsidRPr="00730880">
        <w:rPr>
          <w:rFonts w:eastAsia="Times New Roman" w:cstheme="minorHAnsi"/>
          <w:b/>
          <w:bCs/>
          <w:iCs/>
        </w:rPr>
        <w:t>Cultural effects</w:t>
      </w:r>
    </w:p>
    <w:p w14:paraId="45CDF6ED" w14:textId="77777777" w:rsidR="00390945" w:rsidRPr="00730880" w:rsidRDefault="00390945" w:rsidP="00390945">
      <w:pPr>
        <w:jc w:val="both"/>
        <w:rPr>
          <w:rFonts w:eastAsia="Times New Roman" w:cstheme="minorHAnsi"/>
          <w:iCs/>
        </w:rPr>
      </w:pPr>
    </w:p>
    <w:p w14:paraId="0986AA55" w14:textId="77777777" w:rsidR="00390945" w:rsidRDefault="00390945" w:rsidP="00390945">
      <w:pPr>
        <w:jc w:val="both"/>
        <w:rPr>
          <w:rFonts w:eastAsia="Times New Roman" w:cstheme="minorHAnsi"/>
          <w:iCs/>
          <w:color w:val="FF0000"/>
        </w:rPr>
      </w:pPr>
      <w:r w:rsidRPr="00730880">
        <w:rPr>
          <w:rFonts w:eastAsia="Times New Roman" w:cstheme="minorHAnsi"/>
          <w:iCs/>
        </w:rPr>
        <w:t xml:space="preserve">Whitiora, on behalf of Ngāi Tūāhuriri Rūnanga, has been consulted and has no concerns regarding the nature of this proposal, subject to the inclusion of conditions to protect cultural values by managing any potential adverse effects on earthworks / water quality.  These include </w:t>
      </w:r>
      <w:r w:rsidRPr="00730880">
        <w:rPr>
          <w:rFonts w:eastAsia="Times New Roman" w:cstheme="minorHAnsi"/>
          <w:i/>
          <w:iCs/>
        </w:rPr>
        <w:t>(select as relevant)</w:t>
      </w:r>
      <w:r w:rsidRPr="00730880">
        <w:rPr>
          <w:rFonts w:eastAsia="Times New Roman" w:cstheme="minorHAnsi"/>
          <w:b/>
          <w:bCs/>
          <w:iCs/>
        </w:rPr>
        <w:t xml:space="preserve"> </w:t>
      </w:r>
      <w:r w:rsidRPr="00730880">
        <w:rPr>
          <w:rFonts w:eastAsia="Times New Roman" w:cstheme="minorHAnsi"/>
          <w:iCs/>
        </w:rPr>
        <w:t xml:space="preserve">erosion and sediment control, Accidental Discovery Protocol, management of machinery, hazardous substances, and ecological protection, restoration of the ground post-construction, establishment of indigenous planting near the waterway, and stormwater management. </w:t>
      </w:r>
      <w:r w:rsidRPr="00730880">
        <w:rPr>
          <w:rFonts w:eastAsia="Times New Roman" w:cstheme="minorHAnsi"/>
          <w:i/>
          <w:color w:val="FF0000"/>
        </w:rPr>
        <w:t>Remember to add all required conditions. ADP must be a condition not an advice note.</w:t>
      </w:r>
    </w:p>
    <w:p w14:paraId="0E413641" w14:textId="77777777" w:rsidR="00390945" w:rsidRDefault="00390945" w:rsidP="00390945">
      <w:pPr>
        <w:jc w:val="both"/>
        <w:rPr>
          <w:rFonts w:eastAsia="Times New Roman" w:cstheme="minorHAnsi"/>
          <w:iCs/>
          <w:color w:val="FF0000"/>
        </w:rPr>
      </w:pPr>
    </w:p>
    <w:p w14:paraId="76CB1801" w14:textId="77777777" w:rsidR="00390945" w:rsidRPr="00730880" w:rsidRDefault="00390945" w:rsidP="00390945">
      <w:pPr>
        <w:jc w:val="both"/>
        <w:rPr>
          <w:rFonts w:eastAsia="Times New Roman" w:cstheme="minorHAnsi"/>
          <w:i/>
          <w:color w:val="FF0000"/>
        </w:rPr>
      </w:pPr>
      <w:r w:rsidRPr="00730880">
        <w:rPr>
          <w:rFonts w:eastAsia="Times New Roman" w:cstheme="minorHAnsi"/>
          <w:i/>
          <w:color w:val="FF0000"/>
        </w:rPr>
        <w:t xml:space="preserve">Or </w:t>
      </w:r>
      <w:r>
        <w:rPr>
          <w:rFonts w:eastAsia="Times New Roman" w:cstheme="minorHAnsi"/>
          <w:i/>
          <w:color w:val="FF0000"/>
        </w:rPr>
        <w:t>tailor your assessment</w:t>
      </w:r>
      <w:r w:rsidRPr="00730880">
        <w:rPr>
          <w:rFonts w:eastAsia="Times New Roman" w:cstheme="minorHAnsi"/>
          <w:i/>
          <w:color w:val="FF0000"/>
        </w:rPr>
        <w:t xml:space="preserve"> </w:t>
      </w:r>
      <w:r>
        <w:rPr>
          <w:rFonts w:eastAsia="Times New Roman" w:cstheme="minorHAnsi"/>
          <w:i/>
          <w:color w:val="FF0000"/>
        </w:rPr>
        <w:t>if Whitiora has concerns/specific comments or the site is within the Mahaanui consultation area</w:t>
      </w:r>
    </w:p>
    <w:p w14:paraId="78B2F642" w14:textId="77777777" w:rsidR="00390945" w:rsidRPr="00D85957" w:rsidRDefault="00390945" w:rsidP="00EC58E5">
      <w:pPr>
        <w:jc w:val="both"/>
        <w:rPr>
          <w:rFonts w:eastAsia="Times New Roman" w:cstheme="minorHAnsi"/>
          <w:iCs/>
          <w:color w:val="FF0000"/>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 xml:space="preserve">Reported and recommended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 xml:space="preserve">Reviewed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 xml:space="preserve">Decision maker </w:t>
            </w:r>
            <w:proofErr w:type="gramStart"/>
            <w:r w:rsidRPr="00D85957">
              <w:rPr>
                <w:rFonts w:eastAsia="Times New Roman" w:cstheme="minorHAnsi"/>
                <w:u w:val="single"/>
                <w:lang w:val="en-AU" w:eastAsia="en-NZ"/>
              </w:rPr>
              <w:t>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w:t>
            </w:r>
            <w:proofErr w:type="gramEnd"/>
            <w:r w:rsidRPr="00D85957">
              <w:rPr>
                <w:rFonts w:eastAsia="Times New Roman" w:cstheme="minorHAnsi"/>
                <w:i/>
                <w:color w:val="FF0000"/>
                <w:lang w:val="en-AU" w:eastAsia="en-NZ"/>
              </w:rPr>
              <w:t xml:space="preserv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lastRenderedPageBreak/>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proofErr w:type="gramStart"/>
      <w:r w:rsidR="00836949" w:rsidRPr="00D85957">
        <w:rPr>
          <w:rFonts w:eastAsia="Times New Roman" w:cstheme="minorHAnsi"/>
          <w:i/>
          <w:color w:val="FF0000"/>
          <w:lang w:val="en-AU"/>
        </w:rPr>
        <w:t>particular effects</w:t>
      </w:r>
      <w:proofErr w:type="gramEnd"/>
      <w:r w:rsidR="00836949" w:rsidRPr="00D85957">
        <w:rPr>
          <w:rFonts w:eastAsia="Times New Roman" w:cstheme="minorHAnsi"/>
          <w:i/>
          <w:color w:val="FF0000"/>
          <w:lang w:val="en-AU"/>
        </w:rPr>
        <w:t xml:space="preserve">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 xml:space="preserve">Overall, I consider that the effects on the environment </w:t>
      </w:r>
      <w:proofErr w:type="gramStart"/>
      <w:r w:rsidRPr="00D85957">
        <w:rPr>
          <w:rFonts w:eastAsia="Times New Roman" w:cstheme="minorHAnsi"/>
          <w:bCs/>
          <w:color w:val="FF0000"/>
          <w:lang w:val="en-AU"/>
        </w:rPr>
        <w:t>are able to</w:t>
      </w:r>
      <w:proofErr w:type="gramEnd"/>
      <w:r w:rsidRPr="00D85957">
        <w:rPr>
          <w:rFonts w:eastAsia="Times New Roman" w:cstheme="minorHAnsi"/>
          <w:bCs/>
          <w:color w:val="FF0000"/>
          <w:lang w:val="en-AU"/>
        </w:rPr>
        <w:t xml:space="preserve">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5AFFD02E" w:rsidR="00930229" w:rsidRPr="00D85957" w:rsidRDefault="00930229" w:rsidP="00930229">
      <w:pPr>
        <w:tabs>
          <w:tab w:val="left" w:leader="dot" w:pos="10140"/>
        </w:tabs>
        <w:jc w:val="both"/>
        <w:rPr>
          <w:rFonts w:eastAsia="Times New Roman" w:cstheme="minorHAnsi"/>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Pr="00D85957">
        <w:rPr>
          <w:rFonts w:eastAsia="Times New Roman" w:cstheme="minorHAnsi"/>
        </w:rPr>
        <w:t xml:space="preserve"> </w:t>
      </w:r>
      <w:r w:rsidR="001E59B3" w:rsidRPr="00D85957">
        <w:rPr>
          <w:rFonts w:eastAsia="Times New Roman" w:cstheme="minorHAnsi"/>
          <w:color w:val="FF0000"/>
        </w:rPr>
        <w:t xml:space="preserve">and </w:t>
      </w:r>
      <w:r w:rsidR="00E404FE" w:rsidRPr="00D85957">
        <w:rPr>
          <w:rFonts w:eastAsia="Times New Roman" w:cstheme="minorHAnsi"/>
          <w:color w:val="FF0000"/>
        </w:rPr>
        <w:t xml:space="preserve">proposed </w:t>
      </w:r>
      <w:r w:rsidR="001E59B3" w:rsidRPr="00D85957">
        <w:rPr>
          <w:rFonts w:eastAsia="Times New Roman" w:cstheme="minorHAnsi"/>
          <w:color w:val="FF0000"/>
        </w:rPr>
        <w:t xml:space="preserve">Plan Change </w:t>
      </w:r>
      <w:r w:rsidR="002E65BF" w:rsidRPr="00D85957">
        <w:rPr>
          <w:rFonts w:eastAsia="Times New Roman" w:cstheme="minorHAnsi"/>
          <w:color w:val="FF0000"/>
        </w:rPr>
        <w:t>1</w:t>
      </w:r>
      <w:r w:rsidR="00556679" w:rsidRPr="00D85957">
        <w:rPr>
          <w:rFonts w:eastAsia="Times New Roman" w:cstheme="minorHAnsi"/>
          <w:color w:val="FF0000"/>
        </w:rPr>
        <w:t>4</w:t>
      </w:r>
      <w:r w:rsidR="001E59B3" w:rsidRPr="00D85957">
        <w:rPr>
          <w:rFonts w:eastAsia="Times New Roman" w:cstheme="minorHAnsi"/>
        </w:rPr>
        <w:t>.</w:t>
      </w:r>
      <w:r w:rsidRPr="00D85957">
        <w:rPr>
          <w:rFonts w:eastAsia="Times New Roman" w:cstheme="minorHAnsi"/>
        </w:rPr>
        <w:t xml:space="preserve"> </w:t>
      </w:r>
    </w:p>
    <w:p w14:paraId="632FDAC5" w14:textId="77777777" w:rsidR="001E59B3" w:rsidRPr="00D85957" w:rsidRDefault="001E59B3" w:rsidP="00930229">
      <w:pPr>
        <w:tabs>
          <w:tab w:val="left" w:leader="dot" w:pos="10140"/>
        </w:tabs>
        <w:jc w:val="both"/>
        <w:rPr>
          <w:rFonts w:eastAsia="Times New Roman" w:cstheme="minorHAnsi"/>
        </w:rPr>
      </w:pPr>
    </w:p>
    <w:p w14:paraId="3DE89BBF" w14:textId="7F964E72" w:rsidR="00FA03A4" w:rsidRPr="00D85957" w:rsidRDefault="00E203A1" w:rsidP="00FA03A4">
      <w:pPr>
        <w:tabs>
          <w:tab w:val="left" w:leader="dot" w:pos="10140"/>
        </w:tabs>
        <w:jc w:val="both"/>
        <w:rPr>
          <w:rFonts w:eastAsia="Times New Roman" w:cstheme="minorHAnsi"/>
        </w:rPr>
      </w:pPr>
      <w:r w:rsidRPr="00D85957">
        <w:rPr>
          <w:rFonts w:eastAsia="Times New Roman" w:cstheme="minorHAnsi"/>
        </w:rPr>
        <w:t xml:space="preserve">Objective 3.3.7.a (part) and 14.2.3 and Policies 14.2.3.1-5 and 14.2.6.1 within PC14 are considered to have full legal effect as these originate from Clause 6 of </w:t>
      </w:r>
      <w:hyperlink r:id="rId12" w:history="1">
        <w:r w:rsidRPr="00D85957">
          <w:rPr>
            <w:rStyle w:val="Hyperlink"/>
            <w:rFonts w:eastAsia="Times New Roman" w:cstheme="minorHAnsi"/>
          </w:rPr>
          <w:t>Schedule 3A</w:t>
        </w:r>
      </w:hyperlink>
      <w:r w:rsidRPr="00D85957">
        <w:rPr>
          <w:rFonts w:eastAsia="Times New Roman" w:cstheme="minorHAnsi"/>
        </w:rPr>
        <w:t xml:space="preserve"> of the Resource Management Act.  As noted above,</w:t>
      </w:r>
      <w:r w:rsidR="00676DC8" w:rsidRPr="00D85957">
        <w:rPr>
          <w:rFonts w:eastAsia="Times New Roman" w:cstheme="minorHAnsi"/>
        </w:rPr>
        <w:t xml:space="preserve"> under</w:t>
      </w:r>
      <w:r w:rsidRPr="00D85957">
        <w:rPr>
          <w:rFonts w:eastAsia="Times New Roman" w:cstheme="minorHAnsi"/>
        </w:rPr>
        <w:t xml:space="preserve"> MDRS Policy 2 (14.2.3.2) the MDRS </w:t>
      </w:r>
      <w:r w:rsidR="00676DC8" w:rsidRPr="00D85957">
        <w:rPr>
          <w:rFonts w:eastAsia="Times New Roman" w:cstheme="minorHAnsi"/>
        </w:rPr>
        <w:t>does not apply</w:t>
      </w:r>
      <w:r w:rsidRPr="00D85957">
        <w:rPr>
          <w:rFonts w:eastAsia="Times New Roman" w:cstheme="minorHAnsi"/>
        </w:rPr>
        <w:t xml:space="preserve"> where a qualifying matter is relevant</w:t>
      </w:r>
      <w:r w:rsidR="00E404FE" w:rsidRPr="00D85957">
        <w:rPr>
          <w:rFonts w:eastAsia="Times New Roman" w:cstheme="minorHAnsi"/>
        </w:rPr>
        <w:t>,</w:t>
      </w:r>
      <w:r w:rsidRPr="00D85957">
        <w:rPr>
          <w:rFonts w:eastAsia="Times New Roman" w:cstheme="minorHAnsi"/>
        </w:rPr>
        <w:t xml:space="preserve"> as in this case, </w:t>
      </w:r>
      <w:r w:rsidR="00676DC8" w:rsidRPr="00D85957">
        <w:rPr>
          <w:rFonts w:eastAsia="Times New Roman" w:cstheme="minorHAnsi"/>
        </w:rPr>
        <w:t>so</w:t>
      </w:r>
      <w:r w:rsidRPr="00D85957">
        <w:rPr>
          <w:rFonts w:eastAsia="Times New Roman" w:cstheme="minorHAnsi"/>
        </w:rPr>
        <w:t xml:space="preserve"> at this stage in the process I apply Policy 2 and set aside the other MDRS objectives and policies. </w:t>
      </w:r>
      <w:r w:rsidR="00FA03A4" w:rsidRPr="00D85957">
        <w:rPr>
          <w:rFonts w:eastAsia="Times New Roman" w:cstheme="minorHAnsi"/>
        </w:rPr>
        <w:t xml:space="preserve">  </w:t>
      </w:r>
    </w:p>
    <w:p w14:paraId="1FABC29C" w14:textId="77777777" w:rsidR="00FA03A4" w:rsidRPr="00D85957" w:rsidRDefault="00FA03A4" w:rsidP="00FA03A4">
      <w:pPr>
        <w:tabs>
          <w:tab w:val="left" w:leader="dot" w:pos="10140"/>
        </w:tabs>
        <w:jc w:val="both"/>
        <w:rPr>
          <w:rFonts w:eastAsia="Times New Roman" w:cstheme="minorHAnsi"/>
        </w:rPr>
      </w:pPr>
    </w:p>
    <w:p w14:paraId="070BCE1D" w14:textId="247FF652" w:rsidR="00676DC8" w:rsidRPr="00D85957" w:rsidRDefault="00FA03A4" w:rsidP="00FA03A4">
      <w:pPr>
        <w:tabs>
          <w:tab w:val="left" w:leader="dot" w:pos="10140"/>
        </w:tabs>
        <w:ind w:left="-20"/>
        <w:jc w:val="both"/>
        <w:rPr>
          <w:rFonts w:eastAsia="Times New Roman" w:cstheme="minorHAnsi"/>
        </w:rPr>
      </w:pPr>
      <w:r w:rsidRPr="00D85957">
        <w:rPr>
          <w:rFonts w:eastAsia="Times New Roman" w:cstheme="minorHAnsi"/>
        </w:rPr>
        <w:t xml:space="preserve">In terms of the other </w:t>
      </w:r>
      <w:r w:rsidR="00676DC8" w:rsidRPr="00D85957">
        <w:rPr>
          <w:rFonts w:eastAsia="Times New Roman" w:cstheme="minorHAnsi"/>
        </w:rPr>
        <w:t>objectives and policies in</w:t>
      </w:r>
      <w:r w:rsidRPr="00D85957">
        <w:rPr>
          <w:rFonts w:eastAsia="Times New Roman" w:cstheme="minorHAnsi"/>
        </w:rPr>
        <w:t xml:space="preserve"> PC14, I </w:t>
      </w:r>
      <w:r w:rsidR="00676DC8" w:rsidRPr="00D85957">
        <w:rPr>
          <w:rFonts w:eastAsia="Times New Roman" w:cstheme="minorHAnsi"/>
        </w:rPr>
        <w:t>consider that</w:t>
      </w:r>
      <w:r w:rsidRPr="00D85957">
        <w:rPr>
          <w:rFonts w:eastAsia="Times New Roman" w:cstheme="minorHAnsi"/>
        </w:rPr>
        <w:t xml:space="preserve"> </w:t>
      </w:r>
      <w:r w:rsidRPr="00D85957">
        <w:rPr>
          <w:rFonts w:eastAsia="Times New Roman" w:cstheme="minorHAnsi"/>
          <w:color w:val="FF0000"/>
        </w:rPr>
        <w:t xml:space="preserve">xxx </w:t>
      </w:r>
      <w:r w:rsidRPr="00D85957">
        <w:rPr>
          <w:rFonts w:eastAsia="Times New Roman" w:cstheme="minorHAnsi"/>
        </w:rPr>
        <w:t>are relevant</w:t>
      </w:r>
      <w:r w:rsidR="00676DC8" w:rsidRPr="00D85957">
        <w:rPr>
          <w:rFonts w:eastAsia="Times New Roman" w:cstheme="minorHAnsi"/>
        </w:rPr>
        <w:t xml:space="preserve">, </w:t>
      </w:r>
      <w:r w:rsidR="00676DC8" w:rsidRPr="00D85957">
        <w:rPr>
          <w:rFonts w:eastAsia="Times New Roman" w:cstheme="minorHAnsi"/>
          <w:color w:val="FF0000"/>
        </w:rPr>
        <w:t xml:space="preserve">and </w:t>
      </w:r>
      <w:r w:rsidR="00C4798A" w:rsidRPr="00D85957">
        <w:rPr>
          <w:rFonts w:eastAsia="Times New Roman" w:cstheme="minorHAnsi"/>
          <w:color w:val="FF0000"/>
        </w:rPr>
        <w:t>the proposal is consistent with these</w:t>
      </w:r>
      <w:r w:rsidR="00676DC8" w:rsidRPr="00D85957">
        <w:rPr>
          <w:rFonts w:eastAsia="Times New Roman" w:cstheme="minorHAnsi"/>
          <w:color w:val="FF0000"/>
        </w:rPr>
        <w:t>.</w:t>
      </w:r>
      <w:r w:rsidR="00C4798A" w:rsidRPr="00D85957">
        <w:rPr>
          <w:rFonts w:eastAsia="Times New Roman" w:cstheme="minorHAnsi"/>
          <w:color w:val="FF0000"/>
        </w:rPr>
        <w:t xml:space="preserve"> OR but </w:t>
      </w:r>
      <w:r w:rsidR="00D85957">
        <w:rPr>
          <w:rFonts w:eastAsia="Times New Roman" w:cstheme="minorHAnsi"/>
          <w:color w:val="FF0000"/>
        </w:rPr>
        <w:t>as</w:t>
      </w:r>
      <w:r w:rsidR="00C4798A" w:rsidRPr="00D85957">
        <w:rPr>
          <w:rFonts w:eastAsia="Times New Roman" w:cstheme="minorHAnsi"/>
          <w:color w:val="FF0000"/>
        </w:rPr>
        <w:t xml:space="preserve"> the</w:t>
      </w:r>
      <w:r w:rsidR="00D85957">
        <w:rPr>
          <w:rFonts w:eastAsia="Times New Roman" w:cstheme="minorHAnsi"/>
          <w:color w:val="FF0000"/>
        </w:rPr>
        <w:t>y</w:t>
      </w:r>
      <w:r w:rsidR="00C4798A" w:rsidRPr="00D85957">
        <w:rPr>
          <w:rFonts w:eastAsia="Times New Roman" w:cstheme="minorHAnsi"/>
          <w:color w:val="FF0000"/>
        </w:rPr>
        <w:t xml:space="preserve"> are subject t</w:t>
      </w:r>
      <w:r w:rsidR="00676DC8" w:rsidRPr="00D85957">
        <w:rPr>
          <w:rFonts w:eastAsia="Times New Roman" w:cstheme="minorHAnsi"/>
          <w:color w:val="FF0000"/>
        </w:rPr>
        <w:t xml:space="preserve">o </w:t>
      </w:r>
      <w:r w:rsidR="00C4798A" w:rsidRPr="00D85957">
        <w:rPr>
          <w:rFonts w:eastAsia="Times New Roman" w:cstheme="minorHAnsi"/>
          <w:color w:val="FF0000"/>
        </w:rPr>
        <w:t>submissions</w:t>
      </w:r>
      <w:r w:rsidR="00C84B07">
        <w:rPr>
          <w:rFonts w:eastAsia="Times New Roman" w:cstheme="minorHAnsi"/>
          <w:color w:val="FF0000"/>
        </w:rPr>
        <w:t xml:space="preserve"> and decisions have not yet been made,</w:t>
      </w:r>
      <w:r w:rsidR="00C4798A" w:rsidRPr="00D85957">
        <w:rPr>
          <w:rFonts w:eastAsia="Times New Roman" w:cstheme="minorHAnsi"/>
          <w:color w:val="FF0000"/>
        </w:rPr>
        <w:t xml:space="preserve"> I give little weight to these provisions</w:t>
      </w:r>
      <w:r w:rsidR="00C4798A" w:rsidRPr="00D85957">
        <w:rPr>
          <w:rFonts w:eastAsia="Times New Roman" w:cstheme="minorHAnsi"/>
        </w:rPr>
        <w:t xml:space="preserve">. </w:t>
      </w:r>
    </w:p>
    <w:p w14:paraId="0B58D273" w14:textId="77777777" w:rsidR="00676DC8" w:rsidRPr="00D85957" w:rsidRDefault="00676DC8" w:rsidP="00FA03A4">
      <w:pPr>
        <w:tabs>
          <w:tab w:val="left" w:leader="dot" w:pos="10140"/>
        </w:tabs>
        <w:ind w:left="-20"/>
        <w:jc w:val="both"/>
        <w:rPr>
          <w:rFonts w:eastAsia="Times New Roman" w:cstheme="minorHAnsi"/>
        </w:rPr>
      </w:pPr>
    </w:p>
    <w:p w14:paraId="1B559472" w14:textId="6AE009AA" w:rsidR="001E59B3" w:rsidRPr="00D85957" w:rsidRDefault="00676DC8" w:rsidP="00FA03A4">
      <w:pPr>
        <w:tabs>
          <w:tab w:val="left" w:leader="dot" w:pos="10140"/>
        </w:tabs>
        <w:ind w:left="-20"/>
        <w:jc w:val="both"/>
        <w:rPr>
          <w:rFonts w:cstheme="minorHAnsi"/>
          <w:i/>
          <w:iCs/>
          <w:color w:val="FF0000"/>
        </w:rPr>
      </w:pPr>
      <w:r w:rsidRPr="00D85957">
        <w:rPr>
          <w:rFonts w:eastAsia="Times New Roman" w:cstheme="minorHAnsi"/>
          <w:i/>
          <w:color w:val="FF0000"/>
        </w:rPr>
        <w:t xml:space="preserve">Only </w:t>
      </w:r>
      <w:r w:rsidR="00C4798A" w:rsidRPr="00D85957">
        <w:rPr>
          <w:rFonts w:eastAsia="Times New Roman" w:cstheme="minorHAnsi"/>
          <w:i/>
          <w:color w:val="FF0000"/>
        </w:rPr>
        <w:t xml:space="preserve">discuss weight if </w:t>
      </w:r>
      <w:r w:rsidRPr="00D85957">
        <w:rPr>
          <w:rFonts w:eastAsia="Times New Roman" w:cstheme="minorHAnsi"/>
          <w:i/>
          <w:color w:val="FF0000"/>
        </w:rPr>
        <w:t xml:space="preserve">there are </w:t>
      </w:r>
      <w:r w:rsidR="00C4798A" w:rsidRPr="00D85957">
        <w:rPr>
          <w:rFonts w:eastAsia="Times New Roman" w:cstheme="minorHAnsi"/>
          <w:i/>
          <w:color w:val="FF0000"/>
        </w:rPr>
        <w:t xml:space="preserve">inconsistencies between </w:t>
      </w:r>
      <w:r w:rsidRPr="00D85957">
        <w:rPr>
          <w:rFonts w:eastAsia="Times New Roman" w:cstheme="minorHAnsi"/>
          <w:i/>
          <w:color w:val="FF0000"/>
        </w:rPr>
        <w:t xml:space="preserve">the </w:t>
      </w:r>
      <w:r w:rsidR="00C4798A" w:rsidRPr="00D85957">
        <w:rPr>
          <w:rFonts w:eastAsia="Times New Roman" w:cstheme="minorHAnsi"/>
          <w:i/>
          <w:color w:val="FF0000"/>
        </w:rPr>
        <w:t xml:space="preserve">proposal and ODP and </w:t>
      </w:r>
      <w:r w:rsidRPr="00D85957">
        <w:rPr>
          <w:rFonts w:eastAsia="Times New Roman" w:cstheme="minorHAnsi"/>
          <w:i/>
          <w:color w:val="FF0000"/>
        </w:rPr>
        <w:t>PC14</w:t>
      </w:r>
      <w:r w:rsidR="00C4798A" w:rsidRPr="00D85957">
        <w:rPr>
          <w:rFonts w:eastAsia="Times New Roman" w:cstheme="minorHAnsi"/>
          <w:i/>
          <w:color w:val="FF0000"/>
        </w:rPr>
        <w:t xml:space="preserve"> </w:t>
      </w:r>
      <w:proofErr w:type="spellStart"/>
      <w:r w:rsidR="00C4798A" w:rsidRPr="00D85957">
        <w:rPr>
          <w:rFonts w:eastAsia="Times New Roman" w:cstheme="minorHAnsi"/>
          <w:i/>
          <w:color w:val="FF0000"/>
        </w:rPr>
        <w:t>obs</w:t>
      </w:r>
      <w:proofErr w:type="spellEnd"/>
      <w:r w:rsidR="00C4798A" w:rsidRPr="00D85957">
        <w:rPr>
          <w:rFonts w:eastAsia="Times New Roman" w:cstheme="minorHAnsi"/>
          <w:i/>
          <w:color w:val="FF0000"/>
        </w:rPr>
        <w:t xml:space="preserve"> and pols. Discuss with Senior/Principal Advisor/TL if consider more weight should be given to PC provisions for site and application specific reasons</w:t>
      </w:r>
      <w:r w:rsidRPr="00D85957">
        <w:rPr>
          <w:rFonts w:eastAsia="Times New Roman" w:cstheme="minorHAnsi"/>
          <w:i/>
          <w:color w:val="FF0000"/>
        </w:rPr>
        <w:t>.</w:t>
      </w:r>
      <w:r w:rsidR="00104C27" w:rsidRPr="00D85957">
        <w:rPr>
          <w:rFonts w:eastAsia="Times New Roman" w:cstheme="minorHAnsi"/>
          <w:i/>
          <w:color w:val="FF0000"/>
        </w:rPr>
        <w:t xml:space="preserve"> Weight may change during the PC process depending on the submissions received.</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44BA2DDC" w14:textId="77777777" w:rsidR="00D74D2D" w:rsidRDefault="00D74D2D" w:rsidP="00D74D2D">
      <w:pPr>
        <w:jc w:val="both"/>
        <w:rPr>
          <w:rFonts w:eastAsia="Times New Roman" w:cstheme="minorHAnsi"/>
        </w:rPr>
      </w:pPr>
      <w:bookmarkStart w:id="4"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4"/>
    <w:p w14:paraId="5556D7C2" w14:textId="77777777" w:rsidR="00D74D2D" w:rsidRPr="007F6577" w:rsidRDefault="00D74D2D" w:rsidP="00D74D2D">
      <w:pPr>
        <w:jc w:val="both"/>
        <w:rPr>
          <w:rFonts w:eastAsia="Times New Roman" w:cstheme="minorHAnsi"/>
          <w:color w:val="FF0000"/>
        </w:rPr>
      </w:pPr>
      <w:r w:rsidRPr="007F6577">
        <w:rPr>
          <w:rFonts w:eastAsia="Times New Roman" w:cstheme="minorHAnsi"/>
          <w:color w:val="FF0000"/>
        </w:rPr>
        <w:t xml:space="preserve">OR </w:t>
      </w:r>
    </w:p>
    <w:p w14:paraId="7F9FFEEC" w14:textId="77777777" w:rsidR="00D74D2D" w:rsidRPr="00433ACF" w:rsidRDefault="00D74D2D" w:rsidP="00D74D2D">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563CF626" w14:textId="77777777" w:rsidR="00D74D2D" w:rsidRPr="00D85957" w:rsidRDefault="00D74D2D">
      <w:pPr>
        <w:jc w:val="both"/>
        <w:rPr>
          <w:rFonts w:eastAsia="Times New Roman" w:cstheme="minorHAnsi"/>
          <w:i/>
          <w:color w:val="FF0000"/>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6B212093" w14:textId="77777777" w:rsidR="00D74D2D" w:rsidRPr="00433ACF" w:rsidRDefault="00D74D2D" w:rsidP="00D74D2D">
      <w:pPr>
        <w:jc w:val="both"/>
        <w:rPr>
          <w:rFonts w:cstheme="minorHAnsi"/>
        </w:rPr>
      </w:pPr>
      <w:bookmarkStart w:id="5" w:name="_Hlk185276937"/>
      <w:bookmarkStart w:id="6" w:name="_Hlk185274784"/>
      <w:bookmarkStart w:id="7"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w:t>
      </w:r>
      <w:proofErr w:type="gramStart"/>
      <w:r w:rsidRPr="00D85957">
        <w:rPr>
          <w:rFonts w:cstheme="minorHAnsi"/>
        </w:rPr>
        <w:t>is considered to be</w:t>
      </w:r>
      <w:proofErr w:type="gramEnd"/>
      <w:r w:rsidRPr="00D85957">
        <w:rPr>
          <w:rFonts w:cstheme="minorHAnsi"/>
        </w:rPr>
        <w:t xml:space="preserv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5"/>
    </w:p>
    <w:bookmarkEnd w:id="6"/>
    <w:p w14:paraId="70EB885B" w14:textId="77777777" w:rsidR="00D74D2D" w:rsidRPr="00433ACF" w:rsidRDefault="00D74D2D" w:rsidP="00D74D2D">
      <w:pPr>
        <w:jc w:val="both"/>
        <w:rPr>
          <w:rFonts w:cstheme="minorHAnsi"/>
        </w:rPr>
      </w:pPr>
    </w:p>
    <w:p w14:paraId="4BFFA21E" w14:textId="16DB0D10" w:rsidR="00EC5ED0" w:rsidRPr="00D85957" w:rsidRDefault="00D74D2D" w:rsidP="00D74D2D">
      <w:pPr>
        <w:jc w:val="both"/>
        <w:rPr>
          <w:rFonts w:cstheme="minorHAnsi"/>
        </w:rPr>
      </w:pPr>
      <w:proofErr w:type="gramStart"/>
      <w:r w:rsidRPr="00433ACF">
        <w:rPr>
          <w:rFonts w:cstheme="minorHAnsi"/>
        </w:rPr>
        <w:t>Accordingly</w:t>
      </w:r>
      <w:proofErr w:type="gramEnd"/>
      <w:r w:rsidRPr="00433ACF">
        <w:rPr>
          <w:rFonts w:cstheme="minorHAnsi"/>
        </w:rPr>
        <w:t xml:space="preserve"> no further assessment against Part 2 is considered necessary.</w:t>
      </w:r>
      <w:bookmarkEnd w:id="7"/>
    </w:p>
    <w:p w14:paraId="28FB306B" w14:textId="77777777" w:rsidR="00C5396D" w:rsidRPr="00D85957" w:rsidRDefault="00C5396D" w:rsidP="00930229">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01D184B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Non</w:t>
      </w:r>
      <w:r w:rsidR="00B32583">
        <w:rPr>
          <w:rFonts w:eastAsia="Times New Roman" w:cstheme="minorHAnsi"/>
          <w:szCs w:val="20"/>
        </w:rPr>
        <w:t>-</w:t>
      </w:r>
      <w:r w:rsidRPr="00D85957">
        <w:rPr>
          <w:rFonts w:eastAsia="Times New Roman" w:cstheme="minorHAnsi"/>
          <w:szCs w:val="20"/>
        </w:rPr>
        <w:t xml:space="preserve">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77777777" w:rsidR="00993A33" w:rsidRDefault="00930229" w:rsidP="00867CD6">
      <w:pPr>
        <w:tabs>
          <w:tab w:val="left" w:leader="dot" w:pos="10140"/>
        </w:tabs>
        <w:jc w:val="both"/>
        <w:rPr>
          <w:rFonts w:eastAsia="Times New Roman" w:cstheme="minorHAnsi"/>
          <w:iCs/>
          <w:color w:val="FF0000"/>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Plan</w:t>
      </w:r>
      <w:r w:rsidR="00C4798A" w:rsidRPr="00D85957">
        <w:rPr>
          <w:rFonts w:eastAsia="Times New Roman" w:cstheme="minorHAnsi"/>
          <w:iCs/>
        </w:rPr>
        <w:t xml:space="preserve"> </w:t>
      </w:r>
      <w:r w:rsidR="00C4798A" w:rsidRPr="00D85957">
        <w:rPr>
          <w:rFonts w:eastAsia="Times New Roman" w:cstheme="minorHAnsi"/>
          <w:iCs/>
          <w:color w:val="FF0000"/>
        </w:rPr>
        <w:t>and the proposed plan change</w:t>
      </w:r>
      <w:r w:rsidR="00556679" w:rsidRPr="00D85957">
        <w:rPr>
          <w:rFonts w:eastAsia="Times New Roman" w:cstheme="minorHAnsi"/>
          <w:iCs/>
          <w:color w:val="FF0000"/>
        </w:rPr>
        <w:t>.</w:t>
      </w:r>
    </w:p>
    <w:p w14:paraId="1CF48E49" w14:textId="77777777" w:rsidR="00390945" w:rsidRPr="00D85957" w:rsidRDefault="00390945" w:rsidP="00867CD6">
      <w:pPr>
        <w:tabs>
          <w:tab w:val="left" w:leader="dot" w:pos="10140"/>
        </w:tabs>
        <w:jc w:val="both"/>
        <w:rPr>
          <w:rFonts w:eastAsia="Times New Roman" w:cstheme="minorHAnsi"/>
        </w:rPr>
      </w:pPr>
    </w:p>
    <w:p w14:paraId="6D034A2D" w14:textId="77777777" w:rsidR="00390945" w:rsidRPr="000F2DB3" w:rsidRDefault="00390945" w:rsidP="00390945">
      <w:pPr>
        <w:pStyle w:val="Heading1"/>
        <w:rPr>
          <w:rFonts w:eastAsia="Times New Roman" w:cstheme="minorHAnsi"/>
          <w:szCs w:val="20"/>
          <w:lang w:val="en-AU"/>
        </w:rPr>
      </w:pPr>
      <w:bookmarkStart w:id="8" w:name="_Hlk207012834"/>
      <w:r w:rsidRPr="000F2DB3">
        <w:rPr>
          <w:rFonts w:eastAsia="Times New Roman" w:cstheme="minorHAnsi"/>
          <w:szCs w:val="20"/>
          <w:lang w:val="en-AU"/>
        </w:rPr>
        <w:t>Section 106</w:t>
      </w:r>
      <w:r>
        <w:rPr>
          <w:rFonts w:eastAsia="Times New Roman" w:cstheme="minorHAnsi"/>
          <w:szCs w:val="20"/>
          <w:lang w:val="en-AU"/>
        </w:rPr>
        <w:t>A Natural hazard risk</w:t>
      </w:r>
    </w:p>
    <w:p w14:paraId="3241A160" w14:textId="6D1F0EF2" w:rsidR="00390945" w:rsidRPr="00FE519B" w:rsidRDefault="00390945" w:rsidP="00390945">
      <w:pPr>
        <w:tabs>
          <w:tab w:val="left" w:leader="dot" w:pos="10140"/>
        </w:tabs>
        <w:jc w:val="both"/>
        <w:rPr>
          <w:rFonts w:eastAsia="Times New Roman" w:cstheme="minorHAnsi"/>
          <w:i/>
          <w:iCs/>
          <w:color w:val="FF0000"/>
          <w:lang w:val="en-AU"/>
        </w:rPr>
      </w:pPr>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2025</w:t>
      </w:r>
    </w:p>
    <w:p w14:paraId="790FB6CC" w14:textId="77777777" w:rsidR="00390945" w:rsidRPr="00CC57C9" w:rsidRDefault="00390945" w:rsidP="00390945">
      <w:pPr>
        <w:shd w:val="clear" w:color="auto" w:fill="FFFFFF"/>
        <w:jc w:val="both"/>
        <w:rPr>
          <w:rFonts w:eastAsia="Times New Roman" w:cstheme="minorHAnsi"/>
          <w:lang w:val="en-AU"/>
        </w:rPr>
      </w:pPr>
      <w:bookmarkStart w:id="9" w:name="_Hlk207011448"/>
    </w:p>
    <w:bookmarkEnd w:id="8"/>
    <w:p w14:paraId="2C81B240" w14:textId="075F7130" w:rsidR="00390945" w:rsidRDefault="005B2612" w:rsidP="00390945">
      <w:pPr>
        <w:shd w:val="clear" w:color="auto" w:fill="FFFFFF"/>
        <w:rPr>
          <w:rFonts w:eastAsia="Times New Roman" w:cstheme="minorHAnsi"/>
          <w:lang w:eastAsia="en-GB"/>
        </w:rPr>
      </w:pPr>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2"/>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There are no grounds to refuse consent to this application or impose conditions under s106A.</w:t>
      </w:r>
    </w:p>
    <w:p w14:paraId="195BBD76" w14:textId="77777777" w:rsidR="005B2612" w:rsidRDefault="005B2612" w:rsidP="00390945">
      <w:pPr>
        <w:shd w:val="clear" w:color="auto" w:fill="FFFFFF"/>
        <w:rPr>
          <w:rFonts w:eastAsia="Times New Roman" w:cstheme="minorHAnsi"/>
          <w:lang w:eastAsia="en-GB"/>
        </w:rPr>
      </w:pPr>
    </w:p>
    <w:p w14:paraId="06A00D9B" w14:textId="77777777" w:rsidR="00390945" w:rsidRPr="0016197B" w:rsidRDefault="00390945" w:rsidP="00390945">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t xml:space="preserve">OR if there is a known natural hazard risk </w:t>
      </w:r>
      <w:r>
        <w:rPr>
          <w:rFonts w:eastAsia="Times New Roman" w:cstheme="minorHAnsi"/>
          <w:i/>
          <w:iCs/>
          <w:color w:val="FF0000"/>
          <w:lang w:eastAsia="en-GB"/>
        </w:rPr>
        <w:t>discuss in more detail</w:t>
      </w:r>
      <w:bookmarkEnd w:id="9"/>
    </w:p>
    <w:p w14:paraId="4536AA4E" w14:textId="77777777" w:rsidR="00390945" w:rsidRDefault="00390945" w:rsidP="00390945">
      <w:pPr>
        <w:shd w:val="clear" w:color="auto" w:fill="FFFFFF"/>
        <w:ind w:left="567" w:hanging="567"/>
        <w:rPr>
          <w:rFonts w:eastAsia="Times New Roman" w:cstheme="minorHAnsi"/>
          <w:iCs/>
          <w:lang w:eastAsia="en-GB"/>
        </w:rPr>
      </w:pPr>
    </w:p>
    <w:p w14:paraId="5D30589D" w14:textId="77777777" w:rsidR="00390945" w:rsidRDefault="00390945" w:rsidP="00390945">
      <w:pPr>
        <w:shd w:val="clear" w:color="auto" w:fill="FFFFFF"/>
        <w:rPr>
          <w:rFonts w:eastAsia="Times New Roman" w:cstheme="minorHAnsi"/>
          <w:iCs/>
          <w:lang w:eastAsia="en-GB"/>
        </w:rPr>
      </w:pPr>
      <w:r w:rsidRPr="00F73D26">
        <w:rPr>
          <w:rFonts w:eastAsia="Times New Roman" w:cstheme="minorHAnsi"/>
          <w:iCs/>
          <w:lang w:eastAsia="en-GB"/>
        </w:rPr>
        <w:t xml:space="preserve">This requires a combined assessment of </w:t>
      </w:r>
      <w:proofErr w:type="gramStart"/>
      <w:r w:rsidRPr="00F73D26">
        <w:rPr>
          <w:rFonts w:eastAsia="Times New Roman" w:cstheme="minorHAnsi"/>
          <w:iCs/>
          <w:lang w:eastAsia="en-GB"/>
        </w:rPr>
        <w:t>all of</w:t>
      </w:r>
      <w:proofErr w:type="gramEnd"/>
      <w:r w:rsidRPr="00F73D26">
        <w:rPr>
          <w:rFonts w:eastAsia="Times New Roman" w:cstheme="minorHAnsi"/>
          <w:iCs/>
          <w:lang w:eastAsia="en-GB"/>
        </w:rPr>
        <w:t xml:space="preserve"> the following taken together:</w:t>
      </w:r>
    </w:p>
    <w:p w14:paraId="20148B90" w14:textId="77777777" w:rsidR="005B2612" w:rsidRPr="00F73D26" w:rsidRDefault="005B2612" w:rsidP="00390945">
      <w:pPr>
        <w:shd w:val="clear" w:color="auto" w:fill="FFFFFF"/>
        <w:rPr>
          <w:rFonts w:eastAsia="Times New Roman" w:cstheme="minorHAnsi"/>
          <w:iCs/>
          <w:lang w:eastAsia="en-GB"/>
        </w:rPr>
      </w:pPr>
    </w:p>
    <w:p w14:paraId="22C4568E" w14:textId="77777777" w:rsidR="00390945" w:rsidRPr="000F2DB3" w:rsidRDefault="00390945" w:rsidP="00390945">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t>
      </w:r>
      <w:proofErr w:type="gramStart"/>
      <w:r w:rsidRPr="000F2DB3">
        <w:rPr>
          <w:rFonts w:eastAsia="Times New Roman" w:cstheme="minorHAnsi"/>
          <w:i/>
          <w:lang w:eastAsia="en-GB"/>
        </w:rPr>
        <w:t>the</w:t>
      </w:r>
      <w:proofErr w:type="gramEnd"/>
      <w:r w:rsidRPr="000F2DB3">
        <w:rPr>
          <w:rFonts w:eastAsia="Times New Roman" w:cstheme="minorHAnsi"/>
          <w:i/>
          <w:lang w:eastAsia="en-GB"/>
        </w:rPr>
        <w:t xml:space="preserve"> likelihood of natural hazards occurring (whether individually or in combination)</w:t>
      </w:r>
      <w:r>
        <w:rPr>
          <w:rFonts w:eastAsia="Times New Roman" w:cstheme="minorHAnsi"/>
          <w:i/>
          <w:lang w:eastAsia="en-GB"/>
        </w:rPr>
        <w:t>:</w:t>
      </w:r>
    </w:p>
    <w:p w14:paraId="61393F0E" w14:textId="77777777" w:rsidR="00390945" w:rsidRDefault="00390945" w:rsidP="00390945">
      <w:pPr>
        <w:numPr>
          <w:ilvl w:val="0"/>
          <w:numId w:val="20"/>
        </w:numPr>
        <w:shd w:val="clear" w:color="auto" w:fill="FFFFFF"/>
        <w:ind w:left="993" w:hanging="453"/>
        <w:contextualSpacing/>
        <w:jc w:val="both"/>
        <w:rPr>
          <w:rFonts w:eastAsia="Times New Roman" w:cstheme="minorHAnsi"/>
          <w:i/>
          <w:lang w:eastAsia="en-GB"/>
        </w:rPr>
      </w:pPr>
      <w:r w:rsidRPr="000F2DB3">
        <w:rPr>
          <w:rFonts w:eastAsia="Times New Roman" w:cstheme="minorHAnsi"/>
          <w:i/>
          <w:lang w:eastAsia="en-GB"/>
        </w:rPr>
        <w:t>the material damage to land in respect of which the consent is sought, other land, or structures that would result from natural hazards</w:t>
      </w:r>
      <w:r>
        <w:rPr>
          <w:rFonts w:eastAsia="Times New Roman" w:cstheme="minorHAnsi"/>
          <w:i/>
          <w:lang w:eastAsia="en-GB"/>
        </w:rPr>
        <w:t>:</w:t>
      </w:r>
    </w:p>
    <w:p w14:paraId="6C34E223" w14:textId="77777777" w:rsidR="00390945" w:rsidRDefault="00390945" w:rsidP="00390945">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whether the proposed use</w:t>
      </w:r>
      <w:r w:rsidRPr="00CC57C9">
        <w:rPr>
          <w:rFonts w:eastAsia="Times New Roman" w:cstheme="minorHAnsi"/>
          <w:i/>
          <w:lang w:eastAsia="en-GB"/>
        </w:rPr>
        <w:t xml:space="preserve"> would accelerate, worsen, or result in material damage of the kind referred to in paragraph (b)</w:t>
      </w:r>
      <w:r>
        <w:rPr>
          <w:rFonts w:eastAsia="Times New Roman" w:cstheme="minorHAnsi"/>
          <w:i/>
          <w:lang w:eastAsia="en-GB"/>
        </w:rPr>
        <w:t>:</w:t>
      </w:r>
    </w:p>
    <w:p w14:paraId="43D441B1" w14:textId="77777777" w:rsidR="00390945" w:rsidRDefault="00390945" w:rsidP="00390945">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 xml:space="preserve">whether the proposed use of the land would result in adverse effects on the health or safety of people.” </w:t>
      </w:r>
    </w:p>
    <w:p w14:paraId="40E8E936" w14:textId="77777777" w:rsidR="00390945" w:rsidRDefault="00390945" w:rsidP="00390945">
      <w:pPr>
        <w:shd w:val="clear" w:color="auto" w:fill="FFFFFF"/>
        <w:contextualSpacing/>
        <w:jc w:val="both"/>
        <w:rPr>
          <w:rFonts w:eastAsia="Times New Roman" w:cstheme="minorHAnsi"/>
          <w:i/>
          <w:lang w:eastAsia="en-GB"/>
        </w:rPr>
      </w:pPr>
    </w:p>
    <w:p w14:paraId="42478227" w14:textId="77777777" w:rsidR="00390945" w:rsidRPr="001B0AA4" w:rsidRDefault="00390945" w:rsidP="00390945">
      <w:pPr>
        <w:shd w:val="clear" w:color="auto" w:fill="FFFFFF"/>
        <w:contextualSpacing/>
        <w:jc w:val="both"/>
        <w:rPr>
          <w:rFonts w:eastAsia="Times New Roman" w:cstheme="minorHAnsi"/>
          <w:i/>
          <w:color w:val="FF0000"/>
          <w:lang w:eastAsia="en-GB"/>
        </w:rPr>
      </w:pPr>
      <w:r w:rsidRPr="001B0AA4">
        <w:rPr>
          <w:rFonts w:eastAsia="Times New Roman" w:cstheme="minorHAnsi"/>
          <w:i/>
          <w:color w:val="FF0000"/>
          <w:lang w:eastAsia="en-GB"/>
        </w:rPr>
        <w:t>Assessment …</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77777777"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3"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Default="00EE4CD0" w:rsidP="00EE4CD0">
      <w:pPr>
        <w:ind w:left="567"/>
        <w:jc w:val="both"/>
        <w:rPr>
          <w:rFonts w:ascii="Calibri" w:hAnsi="Calibri" w:cs="Calibri"/>
          <w:lang w:val="en-US"/>
        </w:rPr>
      </w:pPr>
      <w:r w:rsidRPr="00EE4CD0">
        <w:rPr>
          <w:rFonts w:ascii="Calibri" w:hAnsi="Calibri" w:cs="Calibri"/>
          <w:lang w:val="en-US"/>
        </w:rPr>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EE4CD0">
        <w:rPr>
          <w:rFonts w:eastAsia="Times New Roman" w:cstheme="minorHAnsi"/>
          <w:color w:val="FF0000"/>
          <w:lang w:val="en-AU"/>
        </w:rPr>
        <w:t>initial inspection fee OR document</w:t>
      </w:r>
      <w:r w:rsidR="00AB6273">
        <w:rPr>
          <w:rFonts w:eastAsia="Times New Roman" w:cstheme="minorHAnsi"/>
          <w:color w:val="FF0000"/>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4"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3F677F47" w14:textId="77777777" w:rsidR="00B32583" w:rsidRDefault="00B32583" w:rsidP="00EE4CD0">
      <w:pPr>
        <w:ind w:left="567"/>
        <w:jc w:val="both"/>
        <w:rPr>
          <w:rFonts w:ascii="Calibri" w:hAnsi="Calibri" w:cs="Calibri"/>
          <w:lang w:val="en-US"/>
        </w:rPr>
      </w:pPr>
    </w:p>
    <w:p w14:paraId="62B6E7B6" w14:textId="09D08F27" w:rsidR="00B32583" w:rsidRPr="004B0737" w:rsidRDefault="00B32583" w:rsidP="005C18E8">
      <w:pPr>
        <w:pStyle w:val="ListParagraph"/>
        <w:numPr>
          <w:ilvl w:val="0"/>
          <w:numId w:val="19"/>
        </w:numPr>
        <w:ind w:left="567" w:hanging="567"/>
        <w:contextualSpacing w:val="0"/>
        <w:jc w:val="both"/>
        <w:rPr>
          <w:rFonts w:eastAsia="Times New Roman" w:cstheme="minorHAnsi"/>
          <w:lang w:val="en-AU"/>
        </w:rPr>
      </w:pPr>
      <w:r w:rsidRPr="004B0737">
        <w:rPr>
          <w:b/>
          <w:bCs/>
        </w:rPr>
        <w:t>Engineering acceptance and inspection fees</w:t>
      </w:r>
      <w:r w:rsidR="004B0737" w:rsidRPr="004B0737">
        <w:rPr>
          <w:b/>
          <w:bCs/>
        </w:rPr>
        <w:t xml:space="preserve">: </w:t>
      </w:r>
      <w:r w:rsidR="004B0737">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5" w:history="1">
        <w:r w:rsidRPr="007E5F8E">
          <w:rPr>
            <w:rStyle w:val="Hyperlink"/>
          </w:rPr>
          <w:t>RMA Fee Schedule</w:t>
        </w:r>
      </w:hyperlink>
      <w:r w:rsidRPr="007E5F8E">
        <w:t>.</w:t>
      </w:r>
      <w:r>
        <w:t xml:space="preserve"> </w:t>
      </w:r>
      <w:r w:rsidRPr="004B0737">
        <w:rPr>
          <w:rFonts w:cstheme="minorHAnsi"/>
          <w:i/>
          <w:iCs/>
          <w:color w:val="FF0000"/>
          <w:szCs w:val="22"/>
        </w:rPr>
        <w:t xml:space="preserve">Where conditions of a land use consent or outline plan require acceptance of engineering plans/designs, including off-site roading improvements and assets to vest in Council </w:t>
      </w:r>
      <w:proofErr w:type="gramStart"/>
      <w:r w:rsidRPr="004B0737">
        <w:rPr>
          <w:rFonts w:cstheme="minorHAnsi"/>
          <w:i/>
          <w:iCs/>
          <w:color w:val="FF0000"/>
          <w:szCs w:val="22"/>
        </w:rPr>
        <w:t>at a later date</w:t>
      </w:r>
      <w:proofErr w:type="gramEnd"/>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w:t>
      </w:r>
      <w:proofErr w:type="gramStart"/>
      <w:r w:rsidRPr="00D85957">
        <w:rPr>
          <w:rFonts w:cstheme="minorHAnsi"/>
          <w:iCs/>
        </w:rPr>
        <w:t>is considered to be</w:t>
      </w:r>
      <w:proofErr w:type="gramEnd"/>
      <w:r w:rsidRPr="00D85957">
        <w:rPr>
          <w:rFonts w:cstheme="minorHAnsi"/>
          <w:iCs/>
        </w:rPr>
        <w:t xml:space="preserv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6"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77777777" w:rsidR="00FA2951" w:rsidRDefault="00FA2951" w:rsidP="00A03132">
      <w:pPr>
        <w:pStyle w:val="ListParagraph"/>
        <w:ind w:left="0"/>
        <w:rPr>
          <w:rFonts w:eastAsia="Calibri" w:cstheme="minorHAnsi"/>
          <w:lang w:val="en-US"/>
        </w:rPr>
      </w:pPr>
    </w:p>
    <w:p w14:paraId="5B0F4CC3" w14:textId="7500C528" w:rsidR="00B32583" w:rsidRDefault="00B32583" w:rsidP="00B32583">
      <w:pPr>
        <w:pStyle w:val="ListParagraph"/>
        <w:ind w:left="567"/>
        <w:rPr>
          <w:rFonts w:cstheme="minorHAnsi"/>
          <w:i/>
          <w:iCs/>
          <w:color w:val="FF0000"/>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6D95150E" w14:textId="77777777" w:rsidR="00B32583" w:rsidRPr="00D85957" w:rsidRDefault="00B32583" w:rsidP="00A03132">
      <w:pPr>
        <w:pStyle w:val="ListParagraph"/>
        <w:ind w:left="0"/>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w:t>
      </w:r>
      <w:proofErr w:type="gramStart"/>
      <w:r w:rsidRPr="00D85957">
        <w:rPr>
          <w:rFonts w:cstheme="minorHAnsi"/>
        </w:rPr>
        <w:t>is capable of achieving</w:t>
      </w:r>
      <w:proofErr w:type="gramEnd"/>
      <w:r w:rsidRPr="00D85957">
        <w:rPr>
          <w:rFonts w:cstheme="minorHAnsi"/>
        </w:rPr>
        <w:t xml:space="preserve">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color w:val="FF0000"/>
          <w:lang w:eastAsia="en-GB"/>
        </w:rPr>
        <w:t xml:space="preserve">[District – include if consent also required from </w:t>
      </w:r>
      <w:proofErr w:type="spellStart"/>
      <w:r w:rsidRPr="00D85957">
        <w:rPr>
          <w:rFonts w:eastAsia="Calibri" w:cstheme="minorHAnsi"/>
          <w:color w:val="FF0000"/>
          <w:lang w:eastAsia="en-GB"/>
        </w:rPr>
        <w:t>ECan</w:t>
      </w:r>
      <w:proofErr w:type="spellEnd"/>
      <w:r w:rsidRPr="00D85957">
        <w:rPr>
          <w:rFonts w:eastAsia="Calibri" w:cstheme="minorHAnsi"/>
          <w:color w:val="FF0000"/>
          <w:lang w:eastAsia="en-GB"/>
        </w:rPr>
        <w:t>]</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7"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t xml:space="preserve">  </w:t>
      </w:r>
    </w:p>
    <w:p w14:paraId="51088404" w14:textId="77777777" w:rsidR="00D74D2D" w:rsidRPr="00E36965" w:rsidRDefault="00D74D2D" w:rsidP="00D74D2D">
      <w:pPr>
        <w:numPr>
          <w:ilvl w:val="0"/>
          <w:numId w:val="12"/>
        </w:numPr>
        <w:ind w:left="567" w:hanging="567"/>
        <w:jc w:val="both"/>
        <w:rPr>
          <w:rFonts w:eastAsia="Calibri" w:cstheme="minorHAnsi"/>
          <w:i/>
          <w:iCs/>
          <w:lang w:val="en-US"/>
        </w:rPr>
      </w:pPr>
      <w:bookmarkStart w:id="10" w:name="_Hlk185276217"/>
      <w:bookmarkStart w:id="11" w:name="_Hlk185275924"/>
      <w:r w:rsidRPr="00E36965">
        <w:rPr>
          <w:rFonts w:cstheme="minorHAnsi"/>
          <w:i/>
          <w:iCs/>
          <w:color w:val="FF0000"/>
          <w:lang w:val="en-US"/>
        </w:rPr>
        <w:t>New/altered vehicle crossing</w:t>
      </w:r>
    </w:p>
    <w:p w14:paraId="4EBD5CCD" w14:textId="77777777" w:rsidR="00D74D2D" w:rsidRDefault="00D74D2D" w:rsidP="00D74D2D">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19E0C06" w14:textId="77777777" w:rsidR="00D74D2D" w:rsidRDefault="00D74D2D" w:rsidP="00D74D2D">
      <w:pPr>
        <w:ind w:left="567"/>
        <w:jc w:val="both"/>
      </w:pPr>
    </w:p>
    <w:p w14:paraId="37401D12" w14:textId="77777777" w:rsidR="00D74D2D" w:rsidRPr="00E36965" w:rsidRDefault="00D74D2D" w:rsidP="00D74D2D">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31A7FBAE" w14:textId="77777777" w:rsidR="00D74D2D" w:rsidRPr="00E36965" w:rsidRDefault="00D74D2D" w:rsidP="00D74D2D">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w:t>
      </w:r>
      <w:r w:rsidRPr="00E36965">
        <w:rPr>
          <w:rFonts w:eastAsia="Calibri" w:cstheme="minorHAnsi"/>
        </w:rPr>
        <w:lastRenderedPageBreak/>
        <w:t xml:space="preserve">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0"/>
    <w:p w14:paraId="146F0846" w14:textId="77777777" w:rsidR="00D74D2D" w:rsidRDefault="00D74D2D" w:rsidP="00D74D2D">
      <w:pPr>
        <w:pStyle w:val="ListParagraph"/>
        <w:ind w:left="0"/>
        <w:rPr>
          <w:rFonts w:eastAsia="Calibri" w:cstheme="minorHAnsi"/>
          <w:lang w:val="en-US"/>
        </w:rPr>
      </w:pPr>
    </w:p>
    <w:p w14:paraId="029D128A" w14:textId="77777777" w:rsidR="00D74D2D" w:rsidRPr="00665DB6" w:rsidRDefault="00D74D2D" w:rsidP="00D74D2D">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5EDCF8F2" w14:textId="77777777" w:rsidR="00D74D2D" w:rsidRDefault="00D74D2D" w:rsidP="00D74D2D">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11"/>
    <w:p w14:paraId="7E8A79CD" w14:textId="77777777" w:rsidR="00EE4CD0" w:rsidRDefault="00EE4CD0" w:rsidP="00EE4CD0">
      <w:pPr>
        <w:pStyle w:val="ListParagraph"/>
        <w:rPr>
          <w:rFonts w:eastAsia="Calibri" w:cstheme="minorHAnsi"/>
          <w:lang w:val="en-US"/>
        </w:rPr>
      </w:pPr>
    </w:p>
    <w:p w14:paraId="03531822" w14:textId="77777777"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manoeuvring: </w:t>
      </w:r>
      <w:r w:rsidRPr="00EE4CD0">
        <w:rPr>
          <w:rFonts w:eastAsia="Calibr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09F543C"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 xml:space="preserve">Where </w:t>
      </w:r>
      <w:r w:rsidR="00B32583" w:rsidRPr="00EE4CD0">
        <w:rPr>
          <w:rFonts w:eastAsia="Calibri" w:cstheme="minorHAnsi"/>
          <w:i/>
          <w:iCs/>
          <w:color w:val="FF0000"/>
          <w:lang w:val="en-US"/>
        </w:rPr>
        <w:t>manoeuvring</w:t>
      </w:r>
      <w:r w:rsidRPr="00EE4CD0">
        <w:rPr>
          <w:rFonts w:eastAsia="Calibri" w:cstheme="minorHAnsi"/>
          <w:i/>
          <w:iCs/>
          <w:color w:val="FF0000"/>
          <w:lang w:val="en-US"/>
        </w:rPr>
        <w:t xml:space="preserve">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The consent holder should make potential purchasers and/or tenants aware that manoeuvring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or may not be able to access the space.</w:t>
      </w:r>
    </w:p>
    <w:p w14:paraId="7F1F92B9" w14:textId="77777777" w:rsidR="00EE4CD0" w:rsidRPr="00EE4CD0" w:rsidRDefault="00EE4CD0" w:rsidP="00EE4CD0">
      <w:pPr>
        <w:ind w:left="567"/>
        <w:jc w:val="both"/>
        <w:rPr>
          <w:rFonts w:eastAsia="Calibri" w:cstheme="minorHAnsi"/>
        </w:rPr>
      </w:pPr>
    </w:p>
    <w:p w14:paraId="403DE5A5" w14:textId="405CDB8E"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r w:rsidR="00B32583">
        <w:rPr>
          <w:rFonts w:cstheme="minorHAnsi"/>
          <w:bCs/>
        </w:rPr>
        <w:t>Council’s</w:t>
      </w:r>
      <w:r w:rsidR="00B32583" w:rsidRPr="00433ACF">
        <w:rPr>
          <w:rFonts w:cstheme="minorHAnsi"/>
          <w:bCs/>
        </w:rPr>
        <w:t xml:space="preserve"> </w:t>
      </w:r>
      <w:hyperlink r:id="rId21" w:history="1">
        <w:r w:rsidR="00B32583" w:rsidRPr="003936E9">
          <w:rPr>
            <w:rStyle w:val="Hyperlink"/>
            <w:rFonts w:cstheme="minorHAnsi"/>
            <w:bCs/>
          </w:rPr>
          <w:t>Stormwater and Land Drainage Bylaw 2022</w:t>
        </w:r>
      </w:hyperlink>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2"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3"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3BD21B8E"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2C7F40" w:rsidRPr="00D85957">
        <w:rPr>
          <w:rFonts w:eastAsia="Times New Roman" w:cstheme="minorHAnsi"/>
          <w:lang w:val="en-AU"/>
        </w:rPr>
        <w:t>regardless of</w:t>
      </w:r>
      <w:r w:rsidRPr="00D85957">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4"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3E0B5FDE" w14:textId="77777777" w:rsidR="00930229" w:rsidRPr="00D85957" w:rsidRDefault="00930229" w:rsidP="00A80AF1">
      <w:pPr>
        <w:ind w:left="567" w:hanging="567"/>
        <w:rPr>
          <w:rFonts w:eastAsia="Times New Roman" w:cstheme="minorHAnsi"/>
          <w:color w:val="FF0000"/>
        </w:rPr>
      </w:pPr>
    </w:p>
    <w:p w14:paraId="7B097826" w14:textId="77777777" w:rsidR="002C7F40" w:rsidRPr="003936E9" w:rsidRDefault="002C7F40" w:rsidP="002C7F40">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355337CD" w14:textId="77777777" w:rsidR="002C7F40" w:rsidRPr="003936E9" w:rsidRDefault="002C7F40" w:rsidP="002C7F40">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54907FD3" w14:textId="77777777" w:rsidR="002C7F40" w:rsidRPr="003936E9" w:rsidRDefault="002C7F40" w:rsidP="002C7F40">
      <w:pPr>
        <w:autoSpaceDE w:val="0"/>
        <w:autoSpaceDN w:val="0"/>
        <w:rPr>
          <w:rFonts w:cstheme="minorHAnsi"/>
          <w:color w:val="000000"/>
          <w:lang w:val="en-GB" w:eastAsia="en-GB"/>
        </w:rPr>
      </w:pPr>
    </w:p>
    <w:p w14:paraId="46849F03" w14:textId="77777777" w:rsidR="002C7F40" w:rsidRPr="003936E9" w:rsidRDefault="002C7F40" w:rsidP="002C7F40">
      <w:pPr>
        <w:rPr>
          <w:rFonts w:cstheme="minorHAnsi"/>
          <w:i/>
          <w:iCs/>
          <w:color w:val="FF0000"/>
        </w:rPr>
      </w:pPr>
      <w:bookmarkStart w:id="12"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2"/>
    <w:p w14:paraId="68D51C5D" w14:textId="77777777" w:rsidR="002C7F40" w:rsidRPr="003936E9" w:rsidRDefault="002C7F40" w:rsidP="002C7F40">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52AE19AA" w14:textId="77777777" w:rsidR="002C7F40" w:rsidRDefault="002C7F40" w:rsidP="002C7F40">
      <w:pPr>
        <w:rPr>
          <w:rFonts w:cstheme="minorHAnsi"/>
          <w:color w:val="000000"/>
        </w:rPr>
      </w:pPr>
    </w:p>
    <w:p w14:paraId="00BAB969" w14:textId="0B80E280" w:rsidR="002C7F40" w:rsidRPr="00442B44" w:rsidRDefault="002C7F40" w:rsidP="002C7F40">
      <w:pPr>
        <w:jc w:val="both"/>
        <w:rPr>
          <w:rFonts w:cstheme="minorHAnsi"/>
          <w:color w:val="000000"/>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sidR="00E40A4A">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7C9F3F7" w14:textId="77777777" w:rsidR="00930229" w:rsidRPr="00D85957" w:rsidRDefault="00930229"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 xml:space="preserve">Reported and recommended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 xml:space="preserve">Reviewed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lastRenderedPageBreak/>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 xml:space="preserve">Decision maker </w:t>
            </w:r>
            <w:proofErr w:type="gramStart"/>
            <w:r w:rsidRPr="00D85957">
              <w:rPr>
                <w:rFonts w:eastAsia="Times New Roman" w:cstheme="minorHAnsi"/>
                <w:u w:val="single"/>
                <w:lang w:val="en-AU" w:eastAsia="en-NZ"/>
              </w:rPr>
              <w:t>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w:t>
            </w:r>
            <w:proofErr w:type="gramEnd"/>
            <w:r w:rsidRPr="00D85957">
              <w:rPr>
                <w:rFonts w:eastAsia="Times New Roman" w:cstheme="minorHAnsi"/>
                <w:i/>
                <w:color w:val="FF0000"/>
                <w:lang w:val="en-AU" w:eastAsia="en-NZ"/>
              </w:rPr>
              <w:t xml:space="preserv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7"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AA83" w14:textId="77777777" w:rsidR="001B1D3E" w:rsidRDefault="001B1D3E" w:rsidP="00930229">
      <w:r>
        <w:separator/>
      </w:r>
    </w:p>
  </w:endnote>
  <w:endnote w:type="continuationSeparator" w:id="0">
    <w:p w14:paraId="190C4806" w14:textId="77777777" w:rsidR="001B1D3E" w:rsidRDefault="001B1D3E"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4D75CCD6" w:rsidR="00DE4FAA" w:rsidRPr="00BE1C6D" w:rsidRDefault="00DE4FAA" w:rsidP="00AD0FF1">
    <w:pPr>
      <w:pStyle w:val="Footer"/>
      <w:tabs>
        <w:tab w:val="right" w:pos="9214"/>
      </w:tabs>
      <w:spacing w:before="120"/>
      <w:rPr>
        <w:rFonts w:cs="Arial"/>
        <w:sz w:val="14"/>
        <w:szCs w:val="14"/>
      </w:rPr>
    </w:pPr>
    <w:r w:rsidRPr="00BE1C6D">
      <w:rPr>
        <w:rFonts w:cs="Arial"/>
        <w:sz w:val="14"/>
        <w:szCs w:val="14"/>
      </w:rPr>
      <w:t>P-</w:t>
    </w:r>
    <w:r w:rsidR="00E404FE">
      <w:rPr>
        <w:rFonts w:cs="Arial"/>
        <w:sz w:val="14"/>
        <w:szCs w:val="14"/>
      </w:rPr>
      <w:t xml:space="preserve">400d, </w:t>
    </w:r>
    <w:r w:rsidR="007A5D00">
      <w:rPr>
        <w:rFonts w:cs="Arial"/>
        <w:sz w:val="14"/>
        <w:szCs w:val="14"/>
      </w:rPr>
      <w:t>4.09</w:t>
    </w:r>
    <w:r w:rsidR="002C7F40">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6F32" w14:textId="77777777" w:rsidR="001B1D3E" w:rsidRDefault="001B1D3E" w:rsidP="00930229">
      <w:r>
        <w:separator/>
      </w:r>
    </w:p>
  </w:footnote>
  <w:footnote w:type="continuationSeparator" w:id="0">
    <w:p w14:paraId="55465DD2" w14:textId="77777777" w:rsidR="001B1D3E" w:rsidRDefault="001B1D3E" w:rsidP="00930229">
      <w:r>
        <w:continuationSeparator/>
      </w:r>
    </w:p>
  </w:footnote>
  <w:footnote w:id="1">
    <w:p w14:paraId="6C90D7FB" w14:textId="77777777" w:rsidR="00D74D2D" w:rsidRPr="00D70797" w:rsidRDefault="00D74D2D" w:rsidP="00D74D2D">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2">
    <w:p w14:paraId="7385FA27" w14:textId="77777777" w:rsidR="005B2612" w:rsidRDefault="005B2612" w:rsidP="005B2612">
      <w:pPr>
        <w:pStyle w:val="FootnoteText"/>
      </w:pPr>
      <w:r w:rsidRPr="00CC57C9">
        <w:rPr>
          <w:rStyle w:val="FootnoteReference"/>
          <w:rFonts w:asciiTheme="minorHAnsi" w:hAnsiTheme="minorHAnsi"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473984284">
    <w:abstractNumId w:val="12"/>
  </w:num>
  <w:num w:numId="2" w16cid:durableId="2052339483">
    <w:abstractNumId w:val="5"/>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7"/>
  </w:num>
  <w:num w:numId="5" w16cid:durableId="259341284">
    <w:abstractNumId w:val="9"/>
  </w:num>
  <w:num w:numId="6" w16cid:durableId="404255705">
    <w:abstractNumId w:val="7"/>
  </w:num>
  <w:num w:numId="7" w16cid:durableId="1260672526">
    <w:abstractNumId w:val="16"/>
  </w:num>
  <w:num w:numId="8" w16cid:durableId="2089187890">
    <w:abstractNumId w:val="8"/>
  </w:num>
  <w:num w:numId="9" w16cid:durableId="961544451">
    <w:abstractNumId w:val="10"/>
  </w:num>
  <w:num w:numId="10" w16cid:durableId="1358117121">
    <w:abstractNumId w:val="4"/>
  </w:num>
  <w:num w:numId="11" w16cid:durableId="255990010">
    <w:abstractNumId w:val="3"/>
  </w:num>
  <w:num w:numId="12" w16cid:durableId="1563826346">
    <w:abstractNumId w:val="1"/>
  </w:num>
  <w:num w:numId="13" w16cid:durableId="2105875595">
    <w:abstractNumId w:val="14"/>
  </w:num>
  <w:num w:numId="14" w16cid:durableId="251815337">
    <w:abstractNumId w:val="11"/>
  </w:num>
  <w:num w:numId="15" w16cid:durableId="1207907299">
    <w:abstractNumId w:val="15"/>
  </w:num>
  <w:num w:numId="16" w16cid:durableId="1393189795">
    <w:abstractNumId w:val="13"/>
  </w:num>
  <w:num w:numId="17" w16cid:durableId="264189370">
    <w:abstractNumId w:val="6"/>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1186554185">
    <w:abstractNumId w:val="2"/>
  </w:num>
  <w:num w:numId="20" w16cid:durableId="1121268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112F"/>
    <w:rsid w:val="000147D6"/>
    <w:rsid w:val="00017544"/>
    <w:rsid w:val="00027E37"/>
    <w:rsid w:val="000439B4"/>
    <w:rsid w:val="00053F35"/>
    <w:rsid w:val="00056210"/>
    <w:rsid w:val="0006068E"/>
    <w:rsid w:val="00060C6E"/>
    <w:rsid w:val="00062678"/>
    <w:rsid w:val="0007125D"/>
    <w:rsid w:val="00090665"/>
    <w:rsid w:val="00091E03"/>
    <w:rsid w:val="000A36D4"/>
    <w:rsid w:val="000B2FF9"/>
    <w:rsid w:val="000B5D6F"/>
    <w:rsid w:val="000B7D8F"/>
    <w:rsid w:val="000D5A44"/>
    <w:rsid w:val="000E5E1E"/>
    <w:rsid w:val="000E78DF"/>
    <w:rsid w:val="000F064C"/>
    <w:rsid w:val="000F32FD"/>
    <w:rsid w:val="000F3EC1"/>
    <w:rsid w:val="000F6ECB"/>
    <w:rsid w:val="00104C27"/>
    <w:rsid w:val="00114758"/>
    <w:rsid w:val="00114D6C"/>
    <w:rsid w:val="0011643C"/>
    <w:rsid w:val="001170DB"/>
    <w:rsid w:val="00121609"/>
    <w:rsid w:val="00126CCE"/>
    <w:rsid w:val="00137ADF"/>
    <w:rsid w:val="001527A6"/>
    <w:rsid w:val="00164D7A"/>
    <w:rsid w:val="001744F1"/>
    <w:rsid w:val="001772B7"/>
    <w:rsid w:val="00190D5E"/>
    <w:rsid w:val="001B1D3E"/>
    <w:rsid w:val="001B617C"/>
    <w:rsid w:val="001B7587"/>
    <w:rsid w:val="001C5B2E"/>
    <w:rsid w:val="001E0DC9"/>
    <w:rsid w:val="001E59B3"/>
    <w:rsid w:val="001E5EFF"/>
    <w:rsid w:val="001F689A"/>
    <w:rsid w:val="001F6EBC"/>
    <w:rsid w:val="00205F14"/>
    <w:rsid w:val="00206AAE"/>
    <w:rsid w:val="00207ED6"/>
    <w:rsid w:val="00211AF1"/>
    <w:rsid w:val="00217AB8"/>
    <w:rsid w:val="002257C3"/>
    <w:rsid w:val="00232D3F"/>
    <w:rsid w:val="00237850"/>
    <w:rsid w:val="00240E35"/>
    <w:rsid w:val="00240F42"/>
    <w:rsid w:val="00243E42"/>
    <w:rsid w:val="002679BE"/>
    <w:rsid w:val="002707E8"/>
    <w:rsid w:val="00275CB5"/>
    <w:rsid w:val="00282FB6"/>
    <w:rsid w:val="002C165B"/>
    <w:rsid w:val="002C1779"/>
    <w:rsid w:val="002C2C1B"/>
    <w:rsid w:val="002C7F40"/>
    <w:rsid w:val="002E3C6C"/>
    <w:rsid w:val="002E65BF"/>
    <w:rsid w:val="002F09F1"/>
    <w:rsid w:val="002F745B"/>
    <w:rsid w:val="002F7EF3"/>
    <w:rsid w:val="003032A0"/>
    <w:rsid w:val="00320706"/>
    <w:rsid w:val="003324CE"/>
    <w:rsid w:val="00337109"/>
    <w:rsid w:val="003454A8"/>
    <w:rsid w:val="00346B4B"/>
    <w:rsid w:val="003713A6"/>
    <w:rsid w:val="0038428B"/>
    <w:rsid w:val="00384CEC"/>
    <w:rsid w:val="00390945"/>
    <w:rsid w:val="003A38F8"/>
    <w:rsid w:val="003A45B4"/>
    <w:rsid w:val="003A613A"/>
    <w:rsid w:val="003A7D6E"/>
    <w:rsid w:val="003B230A"/>
    <w:rsid w:val="003C5F75"/>
    <w:rsid w:val="003D193B"/>
    <w:rsid w:val="003D1D54"/>
    <w:rsid w:val="003D1EB5"/>
    <w:rsid w:val="003D47B3"/>
    <w:rsid w:val="003D5938"/>
    <w:rsid w:val="003E6B36"/>
    <w:rsid w:val="003F22B7"/>
    <w:rsid w:val="003F4759"/>
    <w:rsid w:val="0040458E"/>
    <w:rsid w:val="0040460C"/>
    <w:rsid w:val="00406152"/>
    <w:rsid w:val="0041449A"/>
    <w:rsid w:val="004179D5"/>
    <w:rsid w:val="00424078"/>
    <w:rsid w:val="00433F4C"/>
    <w:rsid w:val="0044738E"/>
    <w:rsid w:val="00447AF7"/>
    <w:rsid w:val="0045674D"/>
    <w:rsid w:val="0048114A"/>
    <w:rsid w:val="00483E66"/>
    <w:rsid w:val="0049766E"/>
    <w:rsid w:val="00497FC3"/>
    <w:rsid w:val="004A3B35"/>
    <w:rsid w:val="004B0737"/>
    <w:rsid w:val="004B20B6"/>
    <w:rsid w:val="004B6904"/>
    <w:rsid w:val="004C1325"/>
    <w:rsid w:val="004D2E07"/>
    <w:rsid w:val="004E0928"/>
    <w:rsid w:val="004E18A4"/>
    <w:rsid w:val="004F2F0A"/>
    <w:rsid w:val="00504B1F"/>
    <w:rsid w:val="00512F6B"/>
    <w:rsid w:val="00514E01"/>
    <w:rsid w:val="005224B8"/>
    <w:rsid w:val="005314CA"/>
    <w:rsid w:val="005374EC"/>
    <w:rsid w:val="00542274"/>
    <w:rsid w:val="0055148F"/>
    <w:rsid w:val="00552CDD"/>
    <w:rsid w:val="0055354A"/>
    <w:rsid w:val="00554706"/>
    <w:rsid w:val="00555283"/>
    <w:rsid w:val="00556679"/>
    <w:rsid w:val="005605C7"/>
    <w:rsid w:val="00564B24"/>
    <w:rsid w:val="0056547C"/>
    <w:rsid w:val="00566BBC"/>
    <w:rsid w:val="00582837"/>
    <w:rsid w:val="00590B9B"/>
    <w:rsid w:val="005A0981"/>
    <w:rsid w:val="005B2612"/>
    <w:rsid w:val="005B34CF"/>
    <w:rsid w:val="005C0646"/>
    <w:rsid w:val="005C2CA1"/>
    <w:rsid w:val="005C64A7"/>
    <w:rsid w:val="005D0346"/>
    <w:rsid w:val="005D5EFE"/>
    <w:rsid w:val="005D5F0B"/>
    <w:rsid w:val="005D715C"/>
    <w:rsid w:val="005D7AC0"/>
    <w:rsid w:val="005F18CC"/>
    <w:rsid w:val="005F27DD"/>
    <w:rsid w:val="005F593D"/>
    <w:rsid w:val="006012A4"/>
    <w:rsid w:val="0060193B"/>
    <w:rsid w:val="00625FBE"/>
    <w:rsid w:val="00631DE8"/>
    <w:rsid w:val="00633976"/>
    <w:rsid w:val="00635DEE"/>
    <w:rsid w:val="00641210"/>
    <w:rsid w:val="00645EB5"/>
    <w:rsid w:val="0065137F"/>
    <w:rsid w:val="00657E54"/>
    <w:rsid w:val="00657FB8"/>
    <w:rsid w:val="0066356F"/>
    <w:rsid w:val="006641E1"/>
    <w:rsid w:val="00664A4F"/>
    <w:rsid w:val="00665862"/>
    <w:rsid w:val="00665963"/>
    <w:rsid w:val="00670B3D"/>
    <w:rsid w:val="00676DC8"/>
    <w:rsid w:val="006805E5"/>
    <w:rsid w:val="00681709"/>
    <w:rsid w:val="00684817"/>
    <w:rsid w:val="00694273"/>
    <w:rsid w:val="00694BC7"/>
    <w:rsid w:val="00696FC8"/>
    <w:rsid w:val="006B1FA0"/>
    <w:rsid w:val="006C595E"/>
    <w:rsid w:val="006D35E2"/>
    <w:rsid w:val="006D78D8"/>
    <w:rsid w:val="006E5564"/>
    <w:rsid w:val="006F032E"/>
    <w:rsid w:val="00700048"/>
    <w:rsid w:val="00700735"/>
    <w:rsid w:val="0070081B"/>
    <w:rsid w:val="0070415D"/>
    <w:rsid w:val="007101FB"/>
    <w:rsid w:val="007221A4"/>
    <w:rsid w:val="00722849"/>
    <w:rsid w:val="007254E4"/>
    <w:rsid w:val="00760593"/>
    <w:rsid w:val="0076561B"/>
    <w:rsid w:val="00774A1B"/>
    <w:rsid w:val="00783129"/>
    <w:rsid w:val="00790AE8"/>
    <w:rsid w:val="007A1DFF"/>
    <w:rsid w:val="007A3876"/>
    <w:rsid w:val="007A5D00"/>
    <w:rsid w:val="007B09D3"/>
    <w:rsid w:val="007C0390"/>
    <w:rsid w:val="007D40B6"/>
    <w:rsid w:val="007F0232"/>
    <w:rsid w:val="007F3C11"/>
    <w:rsid w:val="007F6E0D"/>
    <w:rsid w:val="00800A19"/>
    <w:rsid w:val="00816E3F"/>
    <w:rsid w:val="00824D71"/>
    <w:rsid w:val="00827D5A"/>
    <w:rsid w:val="008366D4"/>
    <w:rsid w:val="00836949"/>
    <w:rsid w:val="0085755D"/>
    <w:rsid w:val="008625C2"/>
    <w:rsid w:val="0086360F"/>
    <w:rsid w:val="00867CD6"/>
    <w:rsid w:val="00880524"/>
    <w:rsid w:val="008808DF"/>
    <w:rsid w:val="008847DF"/>
    <w:rsid w:val="00894025"/>
    <w:rsid w:val="00897255"/>
    <w:rsid w:val="008A5C82"/>
    <w:rsid w:val="008B3F50"/>
    <w:rsid w:val="008C004E"/>
    <w:rsid w:val="008E1E16"/>
    <w:rsid w:val="008E253A"/>
    <w:rsid w:val="008F3B50"/>
    <w:rsid w:val="008F7FF8"/>
    <w:rsid w:val="00900F2D"/>
    <w:rsid w:val="00903B22"/>
    <w:rsid w:val="009112D1"/>
    <w:rsid w:val="009140BF"/>
    <w:rsid w:val="00915C98"/>
    <w:rsid w:val="00916280"/>
    <w:rsid w:val="009173F8"/>
    <w:rsid w:val="0092629E"/>
    <w:rsid w:val="00930229"/>
    <w:rsid w:val="009349B2"/>
    <w:rsid w:val="00936BC4"/>
    <w:rsid w:val="009452CB"/>
    <w:rsid w:val="0094576C"/>
    <w:rsid w:val="009506C6"/>
    <w:rsid w:val="0096474B"/>
    <w:rsid w:val="00967325"/>
    <w:rsid w:val="0098087E"/>
    <w:rsid w:val="00980B99"/>
    <w:rsid w:val="0098275A"/>
    <w:rsid w:val="00993A33"/>
    <w:rsid w:val="00996532"/>
    <w:rsid w:val="009A2BF9"/>
    <w:rsid w:val="009A5486"/>
    <w:rsid w:val="009A6F12"/>
    <w:rsid w:val="009E19CF"/>
    <w:rsid w:val="009F085C"/>
    <w:rsid w:val="009F2E9F"/>
    <w:rsid w:val="009F60AE"/>
    <w:rsid w:val="00A03132"/>
    <w:rsid w:val="00A03F32"/>
    <w:rsid w:val="00A07D79"/>
    <w:rsid w:val="00A10654"/>
    <w:rsid w:val="00A21E99"/>
    <w:rsid w:val="00A34C67"/>
    <w:rsid w:val="00A36F8D"/>
    <w:rsid w:val="00A56247"/>
    <w:rsid w:val="00A66104"/>
    <w:rsid w:val="00A73BB1"/>
    <w:rsid w:val="00A73D78"/>
    <w:rsid w:val="00A767D5"/>
    <w:rsid w:val="00A80AF1"/>
    <w:rsid w:val="00A80F14"/>
    <w:rsid w:val="00A85340"/>
    <w:rsid w:val="00A978A4"/>
    <w:rsid w:val="00AA2F2D"/>
    <w:rsid w:val="00AA58BB"/>
    <w:rsid w:val="00AB2ED0"/>
    <w:rsid w:val="00AB6273"/>
    <w:rsid w:val="00AC4B78"/>
    <w:rsid w:val="00AD0FF1"/>
    <w:rsid w:val="00AD3158"/>
    <w:rsid w:val="00AD6C72"/>
    <w:rsid w:val="00AE1DB9"/>
    <w:rsid w:val="00AE5309"/>
    <w:rsid w:val="00AF4C11"/>
    <w:rsid w:val="00AF5A96"/>
    <w:rsid w:val="00AF5EE1"/>
    <w:rsid w:val="00B01E32"/>
    <w:rsid w:val="00B05EEE"/>
    <w:rsid w:val="00B112EA"/>
    <w:rsid w:val="00B11D49"/>
    <w:rsid w:val="00B1375E"/>
    <w:rsid w:val="00B1449B"/>
    <w:rsid w:val="00B14FA5"/>
    <w:rsid w:val="00B25EC0"/>
    <w:rsid w:val="00B30A19"/>
    <w:rsid w:val="00B32583"/>
    <w:rsid w:val="00B47B7C"/>
    <w:rsid w:val="00B50E24"/>
    <w:rsid w:val="00B51BF2"/>
    <w:rsid w:val="00B5537B"/>
    <w:rsid w:val="00B572BD"/>
    <w:rsid w:val="00B61431"/>
    <w:rsid w:val="00B7078E"/>
    <w:rsid w:val="00B74885"/>
    <w:rsid w:val="00B964DA"/>
    <w:rsid w:val="00B97F67"/>
    <w:rsid w:val="00BA5DF9"/>
    <w:rsid w:val="00C05DEB"/>
    <w:rsid w:val="00C13F21"/>
    <w:rsid w:val="00C177E1"/>
    <w:rsid w:val="00C2605F"/>
    <w:rsid w:val="00C36579"/>
    <w:rsid w:val="00C46B62"/>
    <w:rsid w:val="00C4798A"/>
    <w:rsid w:val="00C52430"/>
    <w:rsid w:val="00C5396D"/>
    <w:rsid w:val="00C53B0B"/>
    <w:rsid w:val="00C646C3"/>
    <w:rsid w:val="00C67FFE"/>
    <w:rsid w:val="00C70173"/>
    <w:rsid w:val="00C84B07"/>
    <w:rsid w:val="00CA15C7"/>
    <w:rsid w:val="00CA2EBA"/>
    <w:rsid w:val="00CA48C9"/>
    <w:rsid w:val="00CB0ADD"/>
    <w:rsid w:val="00CB4DEB"/>
    <w:rsid w:val="00CC35EA"/>
    <w:rsid w:val="00CC6C57"/>
    <w:rsid w:val="00CD390D"/>
    <w:rsid w:val="00CE0A26"/>
    <w:rsid w:val="00CE1B35"/>
    <w:rsid w:val="00CE39E3"/>
    <w:rsid w:val="00CE7AE3"/>
    <w:rsid w:val="00CF39AA"/>
    <w:rsid w:val="00CF7118"/>
    <w:rsid w:val="00D10E4D"/>
    <w:rsid w:val="00D11823"/>
    <w:rsid w:val="00D1717F"/>
    <w:rsid w:val="00D21CE5"/>
    <w:rsid w:val="00D30247"/>
    <w:rsid w:val="00D353CE"/>
    <w:rsid w:val="00D4396E"/>
    <w:rsid w:val="00D461DB"/>
    <w:rsid w:val="00D559EF"/>
    <w:rsid w:val="00D60A58"/>
    <w:rsid w:val="00D63943"/>
    <w:rsid w:val="00D70797"/>
    <w:rsid w:val="00D7453B"/>
    <w:rsid w:val="00D74D2D"/>
    <w:rsid w:val="00D83B22"/>
    <w:rsid w:val="00D85957"/>
    <w:rsid w:val="00D945B2"/>
    <w:rsid w:val="00D95E13"/>
    <w:rsid w:val="00DB3BEA"/>
    <w:rsid w:val="00DD73C2"/>
    <w:rsid w:val="00DE34C4"/>
    <w:rsid w:val="00DE4FAA"/>
    <w:rsid w:val="00DF3297"/>
    <w:rsid w:val="00DF497A"/>
    <w:rsid w:val="00DF5D41"/>
    <w:rsid w:val="00DF601D"/>
    <w:rsid w:val="00E203A1"/>
    <w:rsid w:val="00E312B4"/>
    <w:rsid w:val="00E33DF9"/>
    <w:rsid w:val="00E34AA7"/>
    <w:rsid w:val="00E404FE"/>
    <w:rsid w:val="00E40A4A"/>
    <w:rsid w:val="00E51280"/>
    <w:rsid w:val="00E523FC"/>
    <w:rsid w:val="00E53506"/>
    <w:rsid w:val="00E5412E"/>
    <w:rsid w:val="00E60F1D"/>
    <w:rsid w:val="00E667E3"/>
    <w:rsid w:val="00E669D3"/>
    <w:rsid w:val="00E71B13"/>
    <w:rsid w:val="00E87C01"/>
    <w:rsid w:val="00E90663"/>
    <w:rsid w:val="00E972DF"/>
    <w:rsid w:val="00EA17E9"/>
    <w:rsid w:val="00EA4D7A"/>
    <w:rsid w:val="00EB2526"/>
    <w:rsid w:val="00EB6BD4"/>
    <w:rsid w:val="00EC58E5"/>
    <w:rsid w:val="00EC5ED0"/>
    <w:rsid w:val="00ED0C7C"/>
    <w:rsid w:val="00EE1D26"/>
    <w:rsid w:val="00EE4CD0"/>
    <w:rsid w:val="00EF3074"/>
    <w:rsid w:val="00EF67E5"/>
    <w:rsid w:val="00EF6D99"/>
    <w:rsid w:val="00EF771F"/>
    <w:rsid w:val="00F00597"/>
    <w:rsid w:val="00F052C6"/>
    <w:rsid w:val="00F11FCB"/>
    <w:rsid w:val="00F25EE4"/>
    <w:rsid w:val="00F26815"/>
    <w:rsid w:val="00F40424"/>
    <w:rsid w:val="00F4176A"/>
    <w:rsid w:val="00F50BEA"/>
    <w:rsid w:val="00F5171C"/>
    <w:rsid w:val="00F611D9"/>
    <w:rsid w:val="00F61348"/>
    <w:rsid w:val="00F65FFD"/>
    <w:rsid w:val="00FA03A4"/>
    <w:rsid w:val="00FA2951"/>
    <w:rsid w:val="00FA6836"/>
    <w:rsid w:val="00FB2A7E"/>
    <w:rsid w:val="00FB758C"/>
    <w:rsid w:val="00FC07AB"/>
    <w:rsid w:val="00FC1591"/>
    <w:rsid w:val="00FC484C"/>
    <w:rsid w:val="00FD2919"/>
    <w:rsid w:val="00FD2DE4"/>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ccc.govt.nz/consents-and-licences/"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mailto:dutybco@ccc.govt.nz"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10</Pages>
  <Words>5328</Words>
  <Characters>28776</Characters>
  <Application>Microsoft Office Word</Application>
  <DocSecurity>0</DocSecurity>
  <Lines>737</Lines>
  <Paragraphs>374</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Elvidge, Catherine</cp:lastModifiedBy>
  <cp:revision>6</cp:revision>
  <cp:lastPrinted>2021-02-16T01:36:00Z</cp:lastPrinted>
  <dcterms:created xsi:type="dcterms:W3CDTF">2025-07-28T03:18:00Z</dcterms:created>
  <dcterms:modified xsi:type="dcterms:W3CDTF">2025-09-03T22:07:00Z</dcterms:modified>
</cp:coreProperties>
</file>