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049D6" w14:textId="68721E39" w:rsidR="005675FC" w:rsidRPr="00E97133" w:rsidRDefault="00C530CA" w:rsidP="00807076">
      <w:pPr>
        <w:pStyle w:val="Title"/>
        <w:spacing w:before="120"/>
        <w:jc w:val="left"/>
        <w:rPr>
          <w:rFonts w:asciiTheme="minorHAnsi" w:hAnsiTheme="minorHAnsi" w:cstheme="minorHAnsi"/>
          <w:sz w:val="36"/>
          <w:szCs w:val="32"/>
        </w:rPr>
      </w:pPr>
      <w:r>
        <w:rPr>
          <w:rFonts w:asciiTheme="minorHAnsi" w:hAnsiTheme="minorHAnsi" w:cstheme="minorHAnsi"/>
          <w:sz w:val="36"/>
          <w:szCs w:val="32"/>
        </w:rPr>
        <w:t>MEDIUM</w:t>
      </w:r>
      <w:r w:rsidR="009A721D" w:rsidRPr="00E97133">
        <w:rPr>
          <w:rFonts w:asciiTheme="minorHAnsi" w:hAnsiTheme="minorHAnsi" w:cstheme="minorHAnsi"/>
          <w:sz w:val="36"/>
          <w:szCs w:val="32"/>
        </w:rPr>
        <w:t xml:space="preserve"> DENSITY </w:t>
      </w:r>
      <w:r w:rsidR="00943200" w:rsidRPr="00E97133">
        <w:rPr>
          <w:rFonts w:asciiTheme="minorHAnsi" w:hAnsiTheme="minorHAnsi" w:cstheme="minorHAnsi"/>
          <w:sz w:val="36"/>
          <w:szCs w:val="32"/>
        </w:rPr>
        <w:t xml:space="preserve">RESIDENTIAL </w:t>
      </w:r>
      <w:r w:rsidR="00BC4426" w:rsidRPr="00E97133">
        <w:rPr>
          <w:rFonts w:asciiTheme="minorHAnsi" w:hAnsiTheme="minorHAnsi" w:cstheme="minorHAnsi"/>
          <w:sz w:val="36"/>
          <w:szCs w:val="32"/>
        </w:rPr>
        <w:t>ZONE</w:t>
      </w:r>
      <w:r w:rsidR="00F965B7">
        <w:rPr>
          <w:rFonts w:asciiTheme="minorHAnsi" w:hAnsiTheme="minorHAnsi" w:cstheme="minorHAnsi"/>
          <w:sz w:val="36"/>
          <w:szCs w:val="32"/>
        </w:rPr>
        <w:t xml:space="preserve"> – Sub-chapter 14A</w:t>
      </w:r>
    </w:p>
    <w:p w14:paraId="1E3D4427" w14:textId="77777777" w:rsidR="002D7048" w:rsidRPr="00E97133" w:rsidRDefault="002D7048">
      <w:pPr>
        <w:pStyle w:val="Title"/>
        <w:jc w:val="left"/>
        <w:rPr>
          <w:rFonts w:ascii="Arial" w:hAnsi="Arial" w:cs="Arial"/>
          <w:sz w:val="18"/>
          <w:szCs w:val="28"/>
        </w:rPr>
      </w:pPr>
    </w:p>
    <w:p w14:paraId="2F6C427E" w14:textId="1F717737" w:rsidR="002B6F6A" w:rsidRPr="002B6F6A" w:rsidRDefault="002B6F6A" w:rsidP="002B6F6A">
      <w:pPr>
        <w:pStyle w:val="Title"/>
        <w:tabs>
          <w:tab w:val="left" w:pos="1134"/>
          <w:tab w:val="left" w:pos="5103"/>
        </w:tabs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2B6F6A">
        <w:rPr>
          <w:rFonts w:asciiTheme="minorHAnsi" w:hAnsiTheme="minorHAnsi" w:cstheme="minorHAnsi"/>
          <w:sz w:val="22"/>
          <w:szCs w:val="22"/>
        </w:rPr>
        <w:t xml:space="preserve">Job No:  </w:t>
      </w:r>
      <w:r w:rsidRPr="002B6F6A">
        <w:rPr>
          <w:rFonts w:asciiTheme="minorHAnsi" w:hAnsiTheme="minorHAnsi" w:cstheme="minorHAnsi"/>
          <w:sz w:val="22"/>
          <w:szCs w:val="22"/>
        </w:rPr>
        <w:tab/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2B6F6A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2B6F6A">
        <w:rPr>
          <w:rFonts w:asciiTheme="minorHAnsi" w:hAnsiTheme="minorHAnsi" w:cstheme="minorHAnsi"/>
          <w:b w:val="0"/>
          <w:sz w:val="22"/>
          <w:szCs w:val="22"/>
        </w:rPr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F1282A">
        <w:rPr>
          <w:rFonts w:asciiTheme="minorHAnsi" w:hAnsiTheme="minorHAnsi" w:cstheme="minorHAnsi"/>
          <w:b w:val="0"/>
          <w:sz w:val="22"/>
          <w:szCs w:val="22"/>
        </w:rPr>
        <w:t>-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Pr="002B6F6A">
        <w:rPr>
          <w:rFonts w:asciiTheme="minorHAnsi" w:hAnsiTheme="minorHAnsi" w:cstheme="minorHAnsi"/>
          <w:sz w:val="22"/>
          <w:szCs w:val="22"/>
        </w:rPr>
        <w:t xml:space="preserve">Planner:   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2B6F6A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2B6F6A">
        <w:rPr>
          <w:rFonts w:asciiTheme="minorHAnsi" w:hAnsiTheme="minorHAnsi" w:cstheme="minorHAnsi"/>
          <w:b w:val="0"/>
          <w:sz w:val="22"/>
          <w:szCs w:val="22"/>
        </w:rPr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end"/>
      </w:r>
    </w:p>
    <w:p w14:paraId="673FA9B2" w14:textId="77777777" w:rsidR="002B6F6A" w:rsidRPr="002B6F6A" w:rsidRDefault="002B6F6A" w:rsidP="002B6F6A">
      <w:pPr>
        <w:pStyle w:val="Title"/>
        <w:tabs>
          <w:tab w:val="left" w:pos="1134"/>
          <w:tab w:val="left" w:pos="5103"/>
        </w:tabs>
        <w:spacing w:after="12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B6F6A">
        <w:rPr>
          <w:rFonts w:asciiTheme="minorHAnsi" w:hAnsiTheme="minorHAnsi" w:cstheme="minorHAnsi"/>
          <w:sz w:val="22"/>
          <w:szCs w:val="22"/>
        </w:rPr>
        <w:t xml:space="preserve">Address:  </w:t>
      </w:r>
      <w:r w:rsidRPr="002B6F6A">
        <w:rPr>
          <w:rFonts w:asciiTheme="minorHAnsi" w:hAnsiTheme="minorHAnsi" w:cstheme="minorHAnsi"/>
          <w:sz w:val="22"/>
          <w:szCs w:val="22"/>
        </w:rPr>
        <w:tab/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2B6F6A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2B6F6A">
        <w:rPr>
          <w:rFonts w:asciiTheme="minorHAnsi" w:hAnsiTheme="minorHAnsi" w:cstheme="minorHAnsi"/>
          <w:b w:val="0"/>
          <w:sz w:val="22"/>
          <w:szCs w:val="22"/>
        </w:rPr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Pr="002B6F6A">
        <w:rPr>
          <w:rFonts w:asciiTheme="minorHAnsi" w:hAnsiTheme="minorHAnsi" w:cstheme="minorHAnsi"/>
          <w:sz w:val="22"/>
          <w:szCs w:val="22"/>
        </w:rPr>
        <w:t xml:space="preserve">Date:        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2B6F6A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2B6F6A">
        <w:rPr>
          <w:rFonts w:asciiTheme="minorHAnsi" w:hAnsiTheme="minorHAnsi" w:cstheme="minorHAnsi"/>
          <w:b w:val="0"/>
          <w:sz w:val="22"/>
          <w:szCs w:val="22"/>
        </w:rPr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end"/>
      </w:r>
    </w:p>
    <w:p w14:paraId="03564988" w14:textId="11D9B053" w:rsidR="00110762" w:rsidRDefault="00C530CA" w:rsidP="00110762">
      <w:pPr>
        <w:pStyle w:val="Title"/>
        <w:tabs>
          <w:tab w:val="left" w:pos="1134"/>
          <w:tab w:val="left" w:pos="5954"/>
          <w:tab w:val="left" w:pos="6804"/>
          <w:tab w:val="left" w:pos="6946"/>
        </w:tabs>
        <w:spacing w:after="120"/>
        <w:jc w:val="both"/>
        <w:rPr>
          <w:rFonts w:asciiTheme="minorHAnsi" w:hAnsiTheme="minorHAnsi" w:cstheme="minorHAnsi"/>
          <w:b w:val="0"/>
          <w:i/>
          <w:color w:val="FF0000"/>
          <w:szCs w:val="22"/>
        </w:rPr>
      </w:pPr>
      <w:r>
        <w:rPr>
          <w:rFonts w:asciiTheme="minorHAnsi" w:hAnsiTheme="minorHAnsi" w:cstheme="minorHAnsi"/>
          <w:b w:val="0"/>
          <w:i/>
          <w:color w:val="FF0000"/>
          <w:szCs w:val="22"/>
        </w:rPr>
        <w:t>Medium</w:t>
      </w:r>
      <w:r w:rsidR="00110762" w:rsidRPr="008C63CD">
        <w:rPr>
          <w:rFonts w:asciiTheme="minorHAnsi" w:hAnsiTheme="minorHAnsi" w:cstheme="minorHAnsi"/>
          <w:b w:val="0"/>
          <w:i/>
          <w:color w:val="FF0000"/>
          <w:szCs w:val="22"/>
        </w:rPr>
        <w:t xml:space="preserve"> Density Residential zone </w:t>
      </w:r>
      <w:r w:rsidR="00A4536A">
        <w:rPr>
          <w:rFonts w:asciiTheme="minorHAnsi" w:hAnsiTheme="minorHAnsi" w:cstheme="minorHAnsi"/>
          <w:b w:val="0"/>
          <w:i/>
          <w:color w:val="FF0000"/>
          <w:szCs w:val="22"/>
        </w:rPr>
        <w:t>provisions introduced by PC14</w:t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5670"/>
        <w:gridCol w:w="3827"/>
      </w:tblGrid>
      <w:tr w:rsidR="00F965B7" w:rsidRPr="00331327" w14:paraId="2301989D" w14:textId="77777777" w:rsidTr="00807076">
        <w:tc>
          <w:tcPr>
            <w:tcW w:w="10377" w:type="dxa"/>
            <w:gridSpan w:val="3"/>
            <w:shd w:val="clear" w:color="auto" w:fill="FFD966" w:themeFill="accent4" w:themeFillTint="99"/>
          </w:tcPr>
          <w:p w14:paraId="4C9FA173" w14:textId="77777777" w:rsidR="00F965B7" w:rsidRPr="00331327" w:rsidRDefault="00F965B7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Development pathway</w:t>
            </w:r>
          </w:p>
        </w:tc>
      </w:tr>
      <w:tr w:rsidR="00F965B7" w:rsidRPr="00331327" w14:paraId="47360037" w14:textId="77777777" w:rsidTr="0063051F">
        <w:tblPrEx>
          <w:tblLook w:val="04A0" w:firstRow="1" w:lastRow="0" w:firstColumn="1" w:lastColumn="0" w:noHBand="0" w:noVBand="1"/>
        </w:tblPrEx>
        <w:tc>
          <w:tcPr>
            <w:tcW w:w="880" w:type="dxa"/>
            <w:shd w:val="clear" w:color="auto" w:fill="FFF2CC" w:themeFill="accent4" w:themeFillTint="33"/>
          </w:tcPr>
          <w:p w14:paraId="0F487EBA" w14:textId="705F9F13" w:rsidR="00F965B7" w:rsidRPr="00331327" w:rsidRDefault="00F965B7" w:rsidP="00F965B7">
            <w:pPr>
              <w:pStyle w:val="Title"/>
              <w:spacing w:before="12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Yes  </w: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shd w:val="clear" w:color="auto" w:fill="FFF2CC" w:themeFill="accent4" w:themeFillTint="33"/>
          </w:tcPr>
          <w:p w14:paraId="5B9DE135" w14:textId="3A46A4E1" w:rsidR="00F965B7" w:rsidRDefault="00F965B7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Has the applicant elected to use the Chapter 14</w:t>
            </w:r>
            <w:r w:rsidR="006F1CC4">
              <w:rPr>
                <w:rFonts w:asciiTheme="minorHAnsi" w:hAnsiTheme="minorHAnsi" w:cstheme="minorHAnsi"/>
                <w:b w:val="0"/>
                <w:sz w:val="18"/>
                <w:szCs w:val="18"/>
              </w:rPr>
              <w:t>B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development pathway? </w:t>
            </w:r>
          </w:p>
          <w:p w14:paraId="52D5A1CB" w14:textId="25218A1D" w:rsidR="00F965B7" w:rsidRPr="00331327" w:rsidRDefault="006F1CC4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If so</w:t>
            </w:r>
            <w:r w:rsidR="00F965B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, use the </w:t>
            </w:r>
            <w:r w:rsidR="00D15905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operative DP zone </w:t>
            </w:r>
            <w:r w:rsidR="00F965B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Checksheet instead. 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14:paraId="68ACC608" w14:textId="7C850CA8" w:rsidR="00F965B7" w:rsidRPr="00331327" w:rsidRDefault="0072081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Operative DP Overlay ‘zone’ </w:t>
            </w:r>
            <w:r w:rsidR="00F965B7"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65B7"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="00F965B7"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="00F965B7"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="00F965B7"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F965B7"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F965B7"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F965B7"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F965B7"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F965B7"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21DD94BB" w14:textId="77777777" w:rsidR="00F965B7" w:rsidRPr="008C63CD" w:rsidRDefault="00F965B7" w:rsidP="00F965B7">
      <w:pPr>
        <w:pStyle w:val="Title"/>
        <w:tabs>
          <w:tab w:val="left" w:pos="1134"/>
          <w:tab w:val="left" w:pos="5954"/>
          <w:tab w:val="left" w:pos="6804"/>
          <w:tab w:val="left" w:pos="6946"/>
        </w:tabs>
        <w:jc w:val="both"/>
        <w:rPr>
          <w:rFonts w:asciiTheme="minorHAnsi" w:hAnsiTheme="minorHAnsi" w:cstheme="minorHAnsi"/>
          <w:b w:val="0"/>
          <w:i/>
          <w:color w:val="FF0000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5869"/>
        <w:gridCol w:w="3827"/>
      </w:tblGrid>
      <w:tr w:rsidR="00931D53" w:rsidRPr="004E4F07" w14:paraId="4FF91F83" w14:textId="77777777" w:rsidTr="0063051F">
        <w:trPr>
          <w:cantSplit/>
          <w:trHeight w:val="291"/>
        </w:trPr>
        <w:tc>
          <w:tcPr>
            <w:tcW w:w="647" w:type="dxa"/>
            <w:shd w:val="clear" w:color="auto" w:fill="008080"/>
            <w:vAlign w:val="center"/>
          </w:tcPr>
          <w:p w14:paraId="204F9F6E" w14:textId="77777777" w:rsidR="00931D53" w:rsidRPr="004E4F07" w:rsidRDefault="00931D53" w:rsidP="00C550BC">
            <w:pPr>
              <w:pStyle w:val="Title"/>
              <w:spacing w:before="40" w:after="40"/>
              <w:rPr>
                <w:rFonts w:asciiTheme="minorHAnsi" w:hAnsiTheme="minorHAnsi" w:cstheme="minorHAnsi"/>
                <w:color w:val="FFFFFF"/>
                <w:sz w:val="22"/>
                <w:szCs w:val="18"/>
              </w:rPr>
            </w:pPr>
            <w:r w:rsidRPr="004E4F07">
              <w:rPr>
                <w:rFonts w:asciiTheme="minorHAnsi" w:hAnsiTheme="minorHAnsi" w:cstheme="minorHAnsi"/>
                <w:color w:val="FFFFFF"/>
                <w:sz w:val="22"/>
                <w:szCs w:val="18"/>
              </w:rPr>
              <w:t>Y</w:t>
            </w:r>
          </w:p>
        </w:tc>
        <w:tc>
          <w:tcPr>
            <w:tcW w:w="5869" w:type="dxa"/>
            <w:shd w:val="clear" w:color="auto" w:fill="008080"/>
            <w:vAlign w:val="center"/>
          </w:tcPr>
          <w:p w14:paraId="12E8D53B" w14:textId="77777777" w:rsidR="00931D53" w:rsidRPr="004E4F07" w:rsidRDefault="00931D53" w:rsidP="00C550BC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4F07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SITE CHARACTERISTICS</w:t>
            </w:r>
          </w:p>
        </w:tc>
        <w:tc>
          <w:tcPr>
            <w:tcW w:w="3827" w:type="dxa"/>
            <w:shd w:val="clear" w:color="auto" w:fill="008080"/>
            <w:vAlign w:val="center"/>
          </w:tcPr>
          <w:p w14:paraId="0948FC06" w14:textId="77777777" w:rsidR="00931D53" w:rsidRPr="004E4F07" w:rsidRDefault="00931D53" w:rsidP="00C550BC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4E4F07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Comments</w:t>
            </w:r>
          </w:p>
        </w:tc>
      </w:tr>
      <w:tr w:rsidR="00931D53" w:rsidRPr="00E97133" w14:paraId="138EEE94" w14:textId="77777777" w:rsidTr="0063051F">
        <w:tc>
          <w:tcPr>
            <w:tcW w:w="647" w:type="dxa"/>
          </w:tcPr>
          <w:p w14:paraId="68FB6A94" w14:textId="77777777" w:rsidR="00931D53" w:rsidRPr="00E97133" w:rsidRDefault="00931D53" w:rsidP="0081093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4B2B09FF" w14:textId="77777777" w:rsidR="00931D53" w:rsidRPr="00E97133" w:rsidRDefault="00931D53" w:rsidP="0081093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Heritage Item/Setting on or adjacent to site</w:t>
            </w:r>
          </w:p>
        </w:tc>
        <w:tc>
          <w:tcPr>
            <w:tcW w:w="3827" w:type="dxa"/>
          </w:tcPr>
          <w:p w14:paraId="4D2B5CAB" w14:textId="77777777" w:rsidR="00931D53" w:rsidRPr="00E97133" w:rsidRDefault="00931D53" w:rsidP="0081093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C4C28" w:rsidRPr="00E97133" w14:paraId="0ABC52A3" w14:textId="77777777" w:rsidTr="00D10581">
        <w:tc>
          <w:tcPr>
            <w:tcW w:w="647" w:type="dxa"/>
          </w:tcPr>
          <w:p w14:paraId="27889081" w14:textId="77777777" w:rsidR="005C4C28" w:rsidRPr="00E97133" w:rsidRDefault="005C4C28" w:rsidP="00D1058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3D1C74D0" w14:textId="77777777" w:rsidR="005C4C28" w:rsidRPr="00E97133" w:rsidRDefault="005C4C28" w:rsidP="00D1058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Residential Heritage Area overlay</w:t>
            </w:r>
            <w:r w:rsidRPr="00BF68A7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 xml:space="preserve"> </w:t>
            </w:r>
            <w:r w:rsidRPr="005C4C28">
              <w:rPr>
                <w:rFonts w:asciiTheme="minorHAnsi" w:hAnsiTheme="minorHAnsi" w:cstheme="minorHAnsi"/>
                <w:b w:val="0"/>
                <w:sz w:val="18"/>
                <w:szCs w:val="18"/>
              </w:rPr>
              <w:t>(PC13)</w:t>
            </w:r>
          </w:p>
        </w:tc>
        <w:tc>
          <w:tcPr>
            <w:tcW w:w="3827" w:type="dxa"/>
          </w:tcPr>
          <w:p w14:paraId="07BA2223" w14:textId="77777777" w:rsidR="005C4C28" w:rsidRPr="00E97133" w:rsidRDefault="005C4C28" w:rsidP="00D1058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31D53" w:rsidRPr="00E97133" w14:paraId="32AB8FFD" w14:textId="77777777" w:rsidTr="0063051F">
        <w:tc>
          <w:tcPr>
            <w:tcW w:w="647" w:type="dxa"/>
          </w:tcPr>
          <w:p w14:paraId="6D63712A" w14:textId="77777777" w:rsidR="00931D53" w:rsidRPr="00E97133" w:rsidRDefault="00931D53" w:rsidP="0081093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68A9F0B9" w14:textId="77777777" w:rsidR="00931D53" w:rsidRPr="00E97133" w:rsidRDefault="00931D53" w:rsidP="0081093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Protected tree on or adjacent to site (incl public realm tree)</w:t>
            </w:r>
          </w:p>
        </w:tc>
        <w:tc>
          <w:tcPr>
            <w:tcW w:w="3827" w:type="dxa"/>
          </w:tcPr>
          <w:p w14:paraId="5A84C5F8" w14:textId="77777777" w:rsidR="00931D53" w:rsidRPr="00E97133" w:rsidRDefault="00931D53" w:rsidP="0081093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63051F" w:rsidRPr="00E97133" w14:paraId="04ACABF0" w14:textId="77777777" w:rsidTr="0063051F">
        <w:tblPrEx>
          <w:tblLook w:val="04A0" w:firstRow="1" w:lastRow="0" w:firstColumn="1" w:lastColumn="0" w:noHBand="0" w:noVBand="1"/>
        </w:tblPrEx>
        <w:tc>
          <w:tcPr>
            <w:tcW w:w="647" w:type="dxa"/>
          </w:tcPr>
          <w:p w14:paraId="1B554541" w14:textId="77777777" w:rsidR="0063051F" w:rsidRPr="00E97133" w:rsidRDefault="0063051F" w:rsidP="00DC6C44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314E8217" w14:textId="77777777" w:rsidR="0063051F" w:rsidRPr="00E97133" w:rsidRDefault="0063051F" w:rsidP="00DC6C4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Water body</w:t>
            </w:r>
          </w:p>
        </w:tc>
        <w:tc>
          <w:tcPr>
            <w:tcW w:w="3827" w:type="dxa"/>
          </w:tcPr>
          <w:p w14:paraId="2BE17E07" w14:textId="77777777" w:rsidR="0063051F" w:rsidRPr="00E97133" w:rsidRDefault="0063051F" w:rsidP="00DC6C4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31D53" w:rsidRPr="00E97133" w14:paraId="4043408D" w14:textId="77777777" w:rsidTr="0063051F">
        <w:tc>
          <w:tcPr>
            <w:tcW w:w="647" w:type="dxa"/>
          </w:tcPr>
          <w:p w14:paraId="7D6FA0AA" w14:textId="77777777" w:rsidR="00931D53" w:rsidRPr="00E97133" w:rsidRDefault="00931D53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70DE2707" w14:textId="77777777" w:rsidR="00931D53" w:rsidRPr="00E97133" w:rsidRDefault="00931D53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Character Area Overlay</w:t>
            </w:r>
          </w:p>
        </w:tc>
        <w:tc>
          <w:tcPr>
            <w:tcW w:w="3827" w:type="dxa"/>
          </w:tcPr>
          <w:p w14:paraId="158C3E6B" w14:textId="77777777" w:rsidR="00931D53" w:rsidRPr="00E97133" w:rsidRDefault="00931D53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A0648" w:rsidRPr="007A0648" w14:paraId="42FF8FB5" w14:textId="77777777" w:rsidTr="001B703D">
        <w:tc>
          <w:tcPr>
            <w:tcW w:w="647" w:type="dxa"/>
          </w:tcPr>
          <w:p w14:paraId="1E5EC8D6" w14:textId="77777777" w:rsidR="007A0648" w:rsidRPr="007A0648" w:rsidRDefault="007A0648" w:rsidP="001B703D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A064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064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A0648">
              <w:rPr>
                <w:rFonts w:asciiTheme="minorHAnsi" w:hAnsiTheme="minorHAnsi" w:cstheme="minorHAnsi"/>
                <w:sz w:val="18"/>
                <w:szCs w:val="18"/>
              </w:rPr>
            </w:r>
            <w:r w:rsidRPr="007A064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A064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354B7589" w14:textId="77777777" w:rsidR="007A0648" w:rsidRPr="007A0648" w:rsidRDefault="007A0648" w:rsidP="001B703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A0648">
              <w:rPr>
                <w:rFonts w:asciiTheme="minorHAnsi" w:hAnsiTheme="minorHAnsi" w:cstheme="minorHAnsi"/>
                <w:b w:val="0"/>
                <w:sz w:val="18"/>
                <w:szCs w:val="18"/>
              </w:rPr>
              <w:t>Industrial Interface Area (Alt Rec)</w:t>
            </w:r>
          </w:p>
        </w:tc>
        <w:tc>
          <w:tcPr>
            <w:tcW w:w="3827" w:type="dxa"/>
          </w:tcPr>
          <w:p w14:paraId="2AE8E0A9" w14:textId="77777777" w:rsidR="007A0648" w:rsidRPr="007A0648" w:rsidRDefault="007A0648" w:rsidP="001B703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A064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064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7A064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7A064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7A064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A064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A064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A064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A064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A064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bookmarkStart w:id="0" w:name="_Hlk184663423"/>
      <w:tr w:rsidR="007A0648" w:rsidRPr="00E97133" w14:paraId="461B99F9" w14:textId="77777777" w:rsidTr="001B703D">
        <w:tc>
          <w:tcPr>
            <w:tcW w:w="647" w:type="dxa"/>
          </w:tcPr>
          <w:p w14:paraId="3A2F6EF5" w14:textId="77777777" w:rsidR="007A0648" w:rsidRPr="00E97133" w:rsidRDefault="007A0648" w:rsidP="001B703D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48C08E09" w14:textId="26663C62" w:rsidR="007A0648" w:rsidRPr="00E97133" w:rsidRDefault="007A0648" w:rsidP="001B703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14777">
              <w:rPr>
                <w:rFonts w:asciiTheme="minorHAnsi" w:hAnsiTheme="minorHAnsi" w:cstheme="minorHAnsi"/>
                <w:b w:val="0"/>
                <w:sz w:val="18"/>
                <w:szCs w:val="18"/>
              </w:rPr>
              <w:t>Local Centre Intensification Precinct (Alt Rec)</w:t>
            </w:r>
          </w:p>
        </w:tc>
        <w:tc>
          <w:tcPr>
            <w:tcW w:w="3827" w:type="dxa"/>
          </w:tcPr>
          <w:p w14:paraId="1E15D1BA" w14:textId="77777777" w:rsidR="007A0648" w:rsidRPr="00E97133" w:rsidRDefault="007A0648" w:rsidP="001B703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bookmarkEnd w:id="0"/>
      <w:tr w:rsidR="00814736" w:rsidRPr="00E97133" w14:paraId="42A19134" w14:textId="77777777" w:rsidTr="00DC6C44">
        <w:tc>
          <w:tcPr>
            <w:tcW w:w="647" w:type="dxa"/>
          </w:tcPr>
          <w:p w14:paraId="514347C6" w14:textId="77777777" w:rsidR="00814736" w:rsidRPr="00E97133" w:rsidRDefault="00814736" w:rsidP="00DC6C44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1D2567A0" w14:textId="453D56E7" w:rsidR="00814736" w:rsidRPr="00E97133" w:rsidRDefault="00D57090" w:rsidP="00DC6C4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Other </w:t>
            </w:r>
            <w:r w:rsidR="00A8288A">
              <w:rPr>
                <w:rFonts w:asciiTheme="minorHAnsi" w:hAnsiTheme="minorHAnsi" w:cstheme="minorHAnsi"/>
                <w:b w:val="0"/>
                <w:sz w:val="18"/>
                <w:szCs w:val="18"/>
              </w:rPr>
              <w:t>Precincts and/or Interface Areas</w:t>
            </w:r>
          </w:p>
        </w:tc>
        <w:tc>
          <w:tcPr>
            <w:tcW w:w="3827" w:type="dxa"/>
          </w:tcPr>
          <w:p w14:paraId="3F051FCB" w14:textId="77777777" w:rsidR="00814736" w:rsidRPr="00E97133" w:rsidRDefault="00814736" w:rsidP="00DC6C4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31D53" w:rsidRPr="00E97133" w14:paraId="187DD7BE" w14:textId="77777777" w:rsidTr="0063051F">
        <w:tc>
          <w:tcPr>
            <w:tcW w:w="647" w:type="dxa"/>
          </w:tcPr>
          <w:p w14:paraId="2035F5B6" w14:textId="77777777" w:rsidR="00931D53" w:rsidRPr="00E97133" w:rsidRDefault="00931D53" w:rsidP="009663A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56CE5D7F" w14:textId="77777777" w:rsidR="00931D53" w:rsidRPr="00E97133" w:rsidRDefault="00931D53" w:rsidP="009663A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Accommodation &amp; Community Facilities overlay</w:t>
            </w:r>
          </w:p>
        </w:tc>
        <w:tc>
          <w:tcPr>
            <w:tcW w:w="3827" w:type="dxa"/>
          </w:tcPr>
          <w:p w14:paraId="45E5B5D7" w14:textId="77777777" w:rsidR="00931D53" w:rsidRPr="00E97133" w:rsidRDefault="00931D53" w:rsidP="009663A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31D53" w:rsidRPr="00E97133" w14:paraId="4C8A6F0C" w14:textId="77777777" w:rsidTr="0063051F">
        <w:tc>
          <w:tcPr>
            <w:tcW w:w="647" w:type="dxa"/>
          </w:tcPr>
          <w:p w14:paraId="6494A1C1" w14:textId="77777777" w:rsidR="00931D53" w:rsidRPr="00E97133" w:rsidRDefault="00931D53" w:rsidP="00C550B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029DD49D" w14:textId="77777777" w:rsidR="00931D53" w:rsidRPr="00E97133" w:rsidRDefault="00931D53" w:rsidP="00C550B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Flood Management Area:</w:t>
            </w:r>
          </w:p>
          <w:p w14:paraId="7BF23EE2" w14:textId="77777777" w:rsidR="00931D53" w:rsidRPr="00E97133" w:rsidRDefault="00931D53" w:rsidP="00C550BC">
            <w:pPr>
              <w:spacing w:before="40" w:after="40"/>
              <w:ind w:left="385" w:hanging="385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ab/>
              <w:t>Within Fixed Minimum Floor Level Overlay</w:t>
            </w:r>
          </w:p>
          <w:p w14:paraId="1763589F" w14:textId="77777777" w:rsidR="00931D53" w:rsidRPr="00E97133" w:rsidRDefault="00931D53" w:rsidP="00C550BC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Outside Fixed Minimum Floor Level Overlay</w:t>
            </w:r>
          </w:p>
          <w:p w14:paraId="594B812F" w14:textId="77777777" w:rsidR="00931D53" w:rsidRPr="00E97133" w:rsidRDefault="00931D53" w:rsidP="00C550BC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High Flood Hazard Management Area</w:t>
            </w:r>
          </w:p>
          <w:p w14:paraId="46316FC8" w14:textId="77777777" w:rsidR="00931D53" w:rsidRDefault="00931D53" w:rsidP="00796408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   Flood Ponding Area</w:t>
            </w:r>
          </w:p>
          <w:p w14:paraId="21158511" w14:textId="6B911FC1" w:rsidR="00931D53" w:rsidRPr="00E97133" w:rsidRDefault="00931D53" w:rsidP="0070236D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   Waimakariri FMA</w:t>
            </w:r>
          </w:p>
        </w:tc>
        <w:tc>
          <w:tcPr>
            <w:tcW w:w="3827" w:type="dxa"/>
          </w:tcPr>
          <w:p w14:paraId="519E9A18" w14:textId="77777777" w:rsidR="00931D53" w:rsidRPr="00E97133" w:rsidRDefault="00931D53" w:rsidP="00C550B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31D53" w:rsidRPr="00E97133" w14:paraId="699E6CD5" w14:textId="77777777" w:rsidTr="0063051F">
        <w:tc>
          <w:tcPr>
            <w:tcW w:w="647" w:type="dxa"/>
          </w:tcPr>
          <w:p w14:paraId="18539D43" w14:textId="77777777" w:rsidR="00931D53" w:rsidRPr="00E97133" w:rsidRDefault="00931D53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4D0E6EF0" w14:textId="77777777" w:rsidR="00931D53" w:rsidRPr="00E97133" w:rsidRDefault="00931D53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Slope Instability Management Area</w:t>
            </w:r>
          </w:p>
          <w:p w14:paraId="3DC2CEAB" w14:textId="77777777" w:rsidR="00931D53" w:rsidRPr="00E97133" w:rsidRDefault="00931D53" w:rsidP="00A35C57">
            <w:pPr>
              <w:spacing w:before="40" w:after="40"/>
              <w:ind w:left="385" w:hanging="385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ab/>
              <w:t>Cliff Collapse</w:t>
            </w:r>
          </w:p>
          <w:p w14:paraId="757F5C05" w14:textId="77777777" w:rsidR="00931D53" w:rsidRPr="00E97133" w:rsidRDefault="00931D53" w:rsidP="00A35C57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Rockfall</w:t>
            </w:r>
          </w:p>
          <w:p w14:paraId="31FA2D38" w14:textId="77777777" w:rsidR="00931D53" w:rsidRPr="00E97133" w:rsidRDefault="00931D53" w:rsidP="00A35C57">
            <w:pPr>
              <w:spacing w:before="40" w:after="40"/>
              <w:ind w:left="385" w:hanging="385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ab/>
              <w:t>Mass Movement</w:t>
            </w:r>
          </w:p>
          <w:p w14:paraId="65A58B7E" w14:textId="77777777" w:rsidR="00931D53" w:rsidRPr="00E97133" w:rsidRDefault="00931D53" w:rsidP="00A35C57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Remainder</w:t>
            </w:r>
          </w:p>
        </w:tc>
        <w:tc>
          <w:tcPr>
            <w:tcW w:w="3827" w:type="dxa"/>
          </w:tcPr>
          <w:p w14:paraId="1AE54BEC" w14:textId="77777777" w:rsidR="00931D53" w:rsidRPr="00E97133" w:rsidRDefault="00931D53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31D53" w:rsidRPr="00E97133" w14:paraId="27C31522" w14:textId="77777777" w:rsidTr="0063051F">
        <w:tblPrEx>
          <w:tblLook w:val="04A0" w:firstRow="1" w:lastRow="0" w:firstColumn="1" w:lastColumn="0" w:noHBand="0" w:noVBand="1"/>
        </w:tblPrEx>
        <w:tc>
          <w:tcPr>
            <w:tcW w:w="647" w:type="dxa"/>
          </w:tcPr>
          <w:p w14:paraId="6BCBC0B9" w14:textId="77777777" w:rsidR="00931D53" w:rsidRPr="00E97133" w:rsidRDefault="00931D53" w:rsidP="00DC6C44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0E30FF5A" w14:textId="7373C01A" w:rsidR="00931D53" w:rsidRPr="0063051F" w:rsidRDefault="00931D53" w:rsidP="00DC6C4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3051F">
              <w:rPr>
                <w:rFonts w:asciiTheme="minorHAnsi" w:hAnsiTheme="minorHAnsi" w:cstheme="minorHAnsi"/>
                <w:b w:val="0"/>
                <w:sz w:val="18"/>
                <w:szCs w:val="18"/>
              </w:rPr>
              <w:t>Coastal hazard</w:t>
            </w:r>
            <w:r w:rsidR="0063051F">
              <w:rPr>
                <w:rFonts w:asciiTheme="minorHAnsi" w:hAnsiTheme="minorHAnsi" w:cstheme="minorHAnsi"/>
                <w:b w:val="0"/>
                <w:sz w:val="18"/>
                <w:szCs w:val="18"/>
              </w:rPr>
              <w:t>s</w:t>
            </w:r>
          </w:p>
          <w:p w14:paraId="08C0D87F" w14:textId="653F0773" w:rsidR="0063051F" w:rsidRPr="0063051F" w:rsidRDefault="0063051F" w:rsidP="0063051F">
            <w:pPr>
              <w:spacing w:before="40" w:after="40"/>
              <w:ind w:left="385" w:hanging="385"/>
              <w:rPr>
                <w:rFonts w:asciiTheme="minorHAnsi" w:hAnsiTheme="minorHAnsi" w:cstheme="minorHAnsi"/>
                <w:sz w:val="18"/>
                <w:szCs w:val="18"/>
              </w:rPr>
            </w:pPr>
            <w:r w:rsidRPr="006305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051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63051F">
              <w:rPr>
                <w:rFonts w:asciiTheme="minorHAnsi" w:hAnsiTheme="minorHAnsi" w:cstheme="minorHAnsi"/>
                <w:sz w:val="18"/>
                <w:szCs w:val="18"/>
              </w:rPr>
            </w:r>
            <w:r w:rsidRPr="006305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305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3051F">
              <w:rPr>
                <w:rFonts w:asciiTheme="minorHAnsi" w:hAnsiTheme="minorHAnsi" w:cstheme="minorHAnsi"/>
                <w:sz w:val="18"/>
                <w:szCs w:val="18"/>
              </w:rPr>
              <w:tab/>
              <w:t>Coastal Hazard Medium Risk Management Area</w:t>
            </w:r>
          </w:p>
          <w:p w14:paraId="693E2779" w14:textId="20A1B49F" w:rsidR="0063051F" w:rsidRPr="0063051F" w:rsidRDefault="0063051F" w:rsidP="0063051F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3051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051F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FORMCHECKBOX </w:instrText>
            </w:r>
            <w:r w:rsidRPr="0063051F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63051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63051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  <w:r w:rsidRPr="0063051F">
              <w:rPr>
                <w:rFonts w:asciiTheme="minorHAnsi" w:hAnsiTheme="minorHAnsi" w:cstheme="minorHAnsi"/>
                <w:b w:val="0"/>
                <w:sz w:val="18"/>
                <w:szCs w:val="18"/>
              </w:rPr>
              <w:tab/>
              <w:t>Coastal Hazard High Risk Management Area</w:t>
            </w:r>
          </w:p>
          <w:p w14:paraId="107D34A9" w14:textId="23118933" w:rsidR="0063051F" w:rsidRPr="0063051F" w:rsidRDefault="0063051F" w:rsidP="0063051F">
            <w:pPr>
              <w:spacing w:before="40" w:after="40"/>
              <w:ind w:left="385" w:hanging="385"/>
              <w:rPr>
                <w:rFonts w:asciiTheme="minorHAnsi" w:hAnsiTheme="minorHAnsi" w:cstheme="minorHAnsi"/>
                <w:sz w:val="18"/>
                <w:szCs w:val="18"/>
              </w:rPr>
            </w:pPr>
            <w:r w:rsidRPr="006305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051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63051F">
              <w:rPr>
                <w:rFonts w:asciiTheme="minorHAnsi" w:hAnsiTheme="minorHAnsi" w:cstheme="minorHAnsi"/>
                <w:sz w:val="18"/>
                <w:szCs w:val="18"/>
              </w:rPr>
            </w:r>
            <w:r w:rsidRPr="006305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305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3051F">
              <w:rPr>
                <w:rFonts w:asciiTheme="minorHAnsi" w:hAnsiTheme="minorHAnsi" w:cstheme="minorHAnsi"/>
                <w:sz w:val="18"/>
                <w:szCs w:val="18"/>
              </w:rPr>
              <w:tab/>
              <w:t>Tsunami Risk Management Area</w:t>
            </w:r>
          </w:p>
          <w:p w14:paraId="02AD5A05" w14:textId="62F82EFC" w:rsidR="0063051F" w:rsidRPr="00E97133" w:rsidRDefault="0063051F" w:rsidP="0063051F">
            <w:pPr>
              <w:pStyle w:val="Title"/>
              <w:spacing w:before="40" w:after="40"/>
              <w:ind w:left="370" w:hanging="37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3051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051F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FORMCHECKBOX </w:instrText>
            </w:r>
            <w:r w:rsidRPr="0063051F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63051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63051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  <w:r w:rsidRPr="0063051F">
              <w:rPr>
                <w:rFonts w:asciiTheme="minorHAnsi" w:hAnsiTheme="minorHAnsi" w:cstheme="minorHAnsi"/>
                <w:b w:val="0"/>
                <w:sz w:val="18"/>
                <w:szCs w:val="18"/>
              </w:rPr>
              <w:tab/>
              <w:t>City Plan provisions</w:t>
            </w:r>
          </w:p>
        </w:tc>
        <w:tc>
          <w:tcPr>
            <w:tcW w:w="3827" w:type="dxa"/>
          </w:tcPr>
          <w:p w14:paraId="4F631901" w14:textId="77777777" w:rsidR="00931D53" w:rsidRPr="00E97133" w:rsidRDefault="00931D53" w:rsidP="00DC6C4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31D53" w:rsidRPr="00E97133" w14:paraId="09B91230" w14:textId="77777777" w:rsidTr="0063051F">
        <w:tc>
          <w:tcPr>
            <w:tcW w:w="647" w:type="dxa"/>
          </w:tcPr>
          <w:p w14:paraId="75D30183" w14:textId="77777777" w:rsidR="00931D53" w:rsidRPr="00E97133" w:rsidRDefault="00931D53" w:rsidP="00C550B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5709C6DB" w14:textId="77777777" w:rsidR="00931D53" w:rsidRPr="00E97133" w:rsidRDefault="00931D53" w:rsidP="00C550B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Liquefaction Management Area</w:t>
            </w:r>
          </w:p>
        </w:tc>
        <w:tc>
          <w:tcPr>
            <w:tcW w:w="3827" w:type="dxa"/>
          </w:tcPr>
          <w:p w14:paraId="2D1E97FA" w14:textId="77777777" w:rsidR="00931D53" w:rsidRPr="00E97133" w:rsidRDefault="00931D53" w:rsidP="00C550B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63051F" w:rsidRPr="00E97133" w14:paraId="52E83E9A" w14:textId="77777777" w:rsidTr="0063051F">
        <w:tblPrEx>
          <w:tblLook w:val="04A0" w:firstRow="1" w:lastRow="0" w:firstColumn="1" w:lastColumn="0" w:noHBand="0" w:noVBand="1"/>
        </w:tblPrEx>
        <w:tc>
          <w:tcPr>
            <w:tcW w:w="647" w:type="dxa"/>
          </w:tcPr>
          <w:p w14:paraId="65C7E724" w14:textId="77777777" w:rsidR="0063051F" w:rsidRPr="00E97133" w:rsidRDefault="0063051F" w:rsidP="00DC6C44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40FB45DE" w14:textId="77777777" w:rsidR="0063051F" w:rsidRPr="00E97133" w:rsidRDefault="0063051F" w:rsidP="00DC6C4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Sensitive activity near road/rail – refer rules in Ch 6.1.7</w:t>
            </w:r>
          </w:p>
        </w:tc>
        <w:tc>
          <w:tcPr>
            <w:tcW w:w="3827" w:type="dxa"/>
          </w:tcPr>
          <w:p w14:paraId="02B41DCF" w14:textId="77777777" w:rsidR="0063051F" w:rsidRPr="00E97133" w:rsidRDefault="0063051F" w:rsidP="00DC6C4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63051F" w:rsidRPr="00E97133" w14:paraId="1C4DE5C0" w14:textId="77777777" w:rsidTr="0063051F">
        <w:tc>
          <w:tcPr>
            <w:tcW w:w="647" w:type="dxa"/>
          </w:tcPr>
          <w:p w14:paraId="484F3C21" w14:textId="77777777" w:rsidR="0063051F" w:rsidRPr="00E97133" w:rsidRDefault="0063051F" w:rsidP="00DC6C44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22C296DB" w14:textId="77777777" w:rsidR="0063051F" w:rsidRPr="00E97133" w:rsidRDefault="0063051F" w:rsidP="00DC6C4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Electricity Transmission Line Corridor</w:t>
            </w:r>
          </w:p>
        </w:tc>
        <w:tc>
          <w:tcPr>
            <w:tcW w:w="3827" w:type="dxa"/>
          </w:tcPr>
          <w:p w14:paraId="1E22135F" w14:textId="77777777" w:rsidR="0063051F" w:rsidRPr="00E97133" w:rsidRDefault="0063051F" w:rsidP="00DC6C4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31D53" w:rsidRPr="00E97133" w14:paraId="2CCDB2DE" w14:textId="77777777" w:rsidTr="0063051F">
        <w:tc>
          <w:tcPr>
            <w:tcW w:w="647" w:type="dxa"/>
          </w:tcPr>
          <w:p w14:paraId="47DCC4CC" w14:textId="77777777" w:rsidR="00931D53" w:rsidRPr="00E97133" w:rsidRDefault="00931D53" w:rsidP="0081093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13868090" w14:textId="77777777" w:rsidR="00931D53" w:rsidRPr="00E97133" w:rsidRDefault="00931D53" w:rsidP="0081093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Overlay areas - other</w:t>
            </w:r>
          </w:p>
        </w:tc>
        <w:tc>
          <w:tcPr>
            <w:tcW w:w="3827" w:type="dxa"/>
          </w:tcPr>
          <w:p w14:paraId="29FEBE0D" w14:textId="77777777" w:rsidR="00931D53" w:rsidRPr="00E97133" w:rsidRDefault="00931D53" w:rsidP="0081093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31D53" w:rsidRPr="00E97133" w14:paraId="06FBB9B4" w14:textId="77777777" w:rsidTr="0063051F">
        <w:tblPrEx>
          <w:tblLook w:val="04A0" w:firstRow="1" w:lastRow="0" w:firstColumn="1" w:lastColumn="0" w:noHBand="0" w:noVBand="1"/>
        </w:tblPrEx>
        <w:tc>
          <w:tcPr>
            <w:tcW w:w="647" w:type="dxa"/>
          </w:tcPr>
          <w:p w14:paraId="5FE67AFF" w14:textId="77777777" w:rsidR="00931D53" w:rsidRPr="00E97133" w:rsidRDefault="00931D53" w:rsidP="00576E6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0F9A1FE1" w14:textId="77777777" w:rsidR="00931D53" w:rsidRPr="00E97133" w:rsidRDefault="00931D53" w:rsidP="00576E6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Airport noise contours</w:t>
            </w:r>
          </w:p>
        </w:tc>
        <w:tc>
          <w:tcPr>
            <w:tcW w:w="3827" w:type="dxa"/>
          </w:tcPr>
          <w:p w14:paraId="26C5A29A" w14:textId="77777777" w:rsidR="00931D53" w:rsidRPr="00E97133" w:rsidRDefault="00931D53" w:rsidP="00576E6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31D53" w:rsidRPr="00E97133" w14:paraId="0B7116E5" w14:textId="77777777" w:rsidTr="0063051F">
        <w:tc>
          <w:tcPr>
            <w:tcW w:w="647" w:type="dxa"/>
          </w:tcPr>
          <w:p w14:paraId="6A53C6B0" w14:textId="77777777" w:rsidR="00931D53" w:rsidRPr="00E97133" w:rsidRDefault="00931D53" w:rsidP="0081093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5C4A52A4" w14:textId="77777777" w:rsidR="00931D53" w:rsidRPr="00E97133" w:rsidRDefault="00931D53" w:rsidP="0081093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Designation</w:t>
            </w:r>
          </w:p>
        </w:tc>
        <w:tc>
          <w:tcPr>
            <w:tcW w:w="3827" w:type="dxa"/>
          </w:tcPr>
          <w:p w14:paraId="2A51492D" w14:textId="77777777" w:rsidR="00931D53" w:rsidRPr="00E97133" w:rsidRDefault="00931D53" w:rsidP="0081093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31D53" w:rsidRPr="00E97133" w14:paraId="68AF0D47" w14:textId="77777777" w:rsidTr="0063051F">
        <w:tc>
          <w:tcPr>
            <w:tcW w:w="647" w:type="dxa"/>
          </w:tcPr>
          <w:p w14:paraId="36B59CAF" w14:textId="77777777" w:rsidR="00931D53" w:rsidRPr="00E97133" w:rsidRDefault="00931D53" w:rsidP="00C550B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32291414" w14:textId="77777777" w:rsidR="00931D53" w:rsidRPr="00E97133" w:rsidRDefault="00931D53" w:rsidP="00C550B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HAIL site</w:t>
            </w:r>
          </w:p>
        </w:tc>
        <w:tc>
          <w:tcPr>
            <w:tcW w:w="3827" w:type="dxa"/>
          </w:tcPr>
          <w:p w14:paraId="6CF406A0" w14:textId="77777777" w:rsidR="00931D53" w:rsidRPr="00E97133" w:rsidRDefault="00931D53" w:rsidP="00C550B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31D53" w:rsidRPr="00E97133" w14:paraId="77C65AC4" w14:textId="77777777" w:rsidTr="0063051F">
        <w:tblPrEx>
          <w:tblLook w:val="04A0" w:firstRow="1" w:lastRow="0" w:firstColumn="1" w:lastColumn="0" w:noHBand="0" w:noVBand="1"/>
        </w:tblPrEx>
        <w:tc>
          <w:tcPr>
            <w:tcW w:w="647" w:type="dxa"/>
          </w:tcPr>
          <w:p w14:paraId="5BB3A060" w14:textId="77777777" w:rsidR="00931D53" w:rsidRPr="00E97133" w:rsidRDefault="00931D53" w:rsidP="00C45B3D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00F7724A" w14:textId="057029DF" w:rsidR="00931D53" w:rsidRPr="00E97133" w:rsidRDefault="0063051F" w:rsidP="00C45B3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Other</w:t>
            </w:r>
          </w:p>
        </w:tc>
        <w:tc>
          <w:tcPr>
            <w:tcW w:w="3827" w:type="dxa"/>
          </w:tcPr>
          <w:p w14:paraId="2FE82453" w14:textId="77777777" w:rsidR="00931D53" w:rsidRPr="00E97133" w:rsidRDefault="00931D53" w:rsidP="00C45B3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0D22A048" w14:textId="77777777" w:rsidR="00EB4502" w:rsidRDefault="00EB4502" w:rsidP="006B4408">
      <w:pPr>
        <w:pStyle w:val="Title"/>
        <w:ind w:left="1134" w:hanging="1134"/>
        <w:jc w:val="left"/>
        <w:rPr>
          <w:rFonts w:ascii="Arial" w:hAnsi="Arial" w:cs="Arial"/>
          <w:sz w:val="22"/>
          <w:szCs w:val="22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563"/>
        <w:gridCol w:w="566"/>
        <w:gridCol w:w="5991"/>
        <w:gridCol w:w="2693"/>
      </w:tblGrid>
      <w:tr w:rsidR="002A41DA" w:rsidRPr="00331327" w14:paraId="64053D13" w14:textId="77777777" w:rsidTr="00807076">
        <w:trPr>
          <w:cantSplit/>
          <w:trHeight w:val="291"/>
          <w:tblHeader/>
        </w:trPr>
        <w:tc>
          <w:tcPr>
            <w:tcW w:w="10377" w:type="dxa"/>
            <w:gridSpan w:val="5"/>
            <w:shd w:val="clear" w:color="auto" w:fill="336699"/>
            <w:vAlign w:val="center"/>
          </w:tcPr>
          <w:p w14:paraId="559F86DA" w14:textId="77777777" w:rsidR="002A41DA" w:rsidRPr="00331327" w:rsidRDefault="002A41DA" w:rsidP="00A35C57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331327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ACTIVITY STATUS TABLES AND ACTIVITY SPECIFIC STANDARDS</w:t>
            </w:r>
          </w:p>
        </w:tc>
      </w:tr>
      <w:tr w:rsidR="002A41DA" w:rsidRPr="00331327" w14:paraId="15EC537E" w14:textId="77777777" w:rsidTr="00701F6C">
        <w:trPr>
          <w:cantSplit/>
          <w:trHeight w:val="265"/>
          <w:tblHeader/>
        </w:trPr>
        <w:tc>
          <w:tcPr>
            <w:tcW w:w="1693" w:type="dxa"/>
            <w:gridSpan w:val="3"/>
            <w:vAlign w:val="center"/>
          </w:tcPr>
          <w:p w14:paraId="3804E09D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Compliance</w:t>
            </w:r>
          </w:p>
        </w:tc>
        <w:tc>
          <w:tcPr>
            <w:tcW w:w="5991" w:type="dxa"/>
            <w:vMerge w:val="restart"/>
            <w:vAlign w:val="center"/>
          </w:tcPr>
          <w:p w14:paraId="2E29B14A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Rule</w:t>
            </w:r>
          </w:p>
        </w:tc>
        <w:tc>
          <w:tcPr>
            <w:tcW w:w="2693" w:type="dxa"/>
            <w:vMerge w:val="restart"/>
            <w:vAlign w:val="center"/>
          </w:tcPr>
          <w:p w14:paraId="10833DF3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Comments</w:t>
            </w:r>
          </w:p>
        </w:tc>
      </w:tr>
      <w:tr w:rsidR="002A41DA" w:rsidRPr="00331327" w14:paraId="136F5B5B" w14:textId="77777777" w:rsidTr="00701F6C">
        <w:trPr>
          <w:cantSplit/>
          <w:trHeight w:val="336"/>
          <w:tblHeader/>
        </w:trPr>
        <w:tc>
          <w:tcPr>
            <w:tcW w:w="564" w:type="dxa"/>
            <w:vAlign w:val="center"/>
          </w:tcPr>
          <w:p w14:paraId="264BD5CD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563" w:type="dxa"/>
            <w:vAlign w:val="center"/>
          </w:tcPr>
          <w:p w14:paraId="4655E8D2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66" w:type="dxa"/>
            <w:vAlign w:val="center"/>
          </w:tcPr>
          <w:p w14:paraId="68D1A7D6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5991" w:type="dxa"/>
            <w:vMerge/>
            <w:vAlign w:val="center"/>
          </w:tcPr>
          <w:p w14:paraId="4E20BDFE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59259FC6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1DA" w:rsidRPr="00331327" w14:paraId="391FB56F" w14:textId="77777777" w:rsidTr="00807076">
        <w:tc>
          <w:tcPr>
            <w:tcW w:w="10377" w:type="dxa"/>
            <w:gridSpan w:val="5"/>
            <w:shd w:val="clear" w:color="auto" w:fill="E6E6E6"/>
          </w:tcPr>
          <w:p w14:paraId="32105F2B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Permitted activities</w:t>
            </w:r>
          </w:p>
        </w:tc>
      </w:tr>
      <w:tr w:rsidR="002A41DA" w:rsidRPr="00331327" w14:paraId="69373B0C" w14:textId="77777777" w:rsidTr="00701F6C">
        <w:tblPrEx>
          <w:tblLook w:val="04A0" w:firstRow="1" w:lastRow="0" w:firstColumn="1" w:lastColumn="0" w:noHBand="0" w:noVBand="1"/>
        </w:tblPrEx>
        <w:tc>
          <w:tcPr>
            <w:tcW w:w="564" w:type="dxa"/>
          </w:tcPr>
          <w:p w14:paraId="687A69F0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3B3F0982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7C5C9A96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91" w:type="dxa"/>
          </w:tcPr>
          <w:p w14:paraId="07A36EF2" w14:textId="56FCE6E6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 w:rsidR="0013098E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2B509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.1.1 Activity specific standards</w:t>
            </w:r>
          </w:p>
          <w:p w14:paraId="70CB81EC" w14:textId="0D7FAD03" w:rsidR="002A41DA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t>Does the activity comply with al</w:t>
            </w:r>
            <w:r w:rsidR="000A4358">
              <w:rPr>
                <w:rFonts w:asciiTheme="minorHAnsi" w:hAnsiTheme="minorHAnsi" w:cstheme="minorHAnsi"/>
                <w:b w:val="0"/>
                <w:sz w:val="18"/>
                <w:szCs w:val="18"/>
              </w:rPr>
              <w:t>l</w: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relevant activity specific standards? </w:t>
            </w:r>
          </w:p>
          <w:p w14:paraId="44EF7593" w14:textId="3907EAEF" w:rsidR="00D57090" w:rsidRDefault="00D57090" w:rsidP="00D57090">
            <w:pPr>
              <w:spacing w:before="40" w:after="40"/>
              <w:ind w:left="358" w:hanging="358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>P1 No more than 3 residential units per site</w:t>
            </w:r>
          </w:p>
          <w:p w14:paraId="501EB8B2" w14:textId="15AF9F51" w:rsidR="00D57090" w:rsidRDefault="00D57090" w:rsidP="00D57090">
            <w:pPr>
              <w:spacing w:before="40" w:after="40"/>
              <w:ind w:left="358" w:hanging="358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>P3 Conversion of EPH/OPH units existing on 17 March 2023</w:t>
            </w:r>
            <w:r w:rsidR="008303EF">
              <w:rPr>
                <w:rFonts w:asciiTheme="minorHAnsi" w:hAnsiTheme="minorHAnsi" w:cstheme="minorHAnsi"/>
                <w:sz w:val="18"/>
                <w:szCs w:val="18"/>
              </w:rPr>
              <w:t xml:space="preserve"> – minimum 35m</w:t>
            </w:r>
            <w:r w:rsidR="008303E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 w:rsidR="008303EF">
              <w:rPr>
                <w:rFonts w:asciiTheme="minorHAnsi" w:hAnsiTheme="minorHAnsi" w:cstheme="minorHAnsi"/>
                <w:sz w:val="18"/>
                <w:szCs w:val="18"/>
              </w:rPr>
              <w:t xml:space="preserve"> GFA excl garages, and separate ODLS readily accessible from living area of 20m</w:t>
            </w:r>
            <w:r w:rsidR="008303E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2 </w:t>
            </w:r>
            <w:r w:rsidR="008303EF" w:rsidRPr="008303EF">
              <w:rPr>
                <w:rFonts w:asciiTheme="minorHAnsi" w:hAnsiTheme="minorHAnsi" w:cstheme="minorHAnsi"/>
                <w:sz w:val="18"/>
                <w:szCs w:val="18"/>
              </w:rPr>
              <w:t xml:space="preserve">with 3m dimension. </w:t>
            </w:r>
            <w:r w:rsidR="008303EF">
              <w:rPr>
                <w:rFonts w:asciiTheme="minorHAnsi" w:hAnsiTheme="minorHAnsi" w:cstheme="minorHAnsi"/>
                <w:sz w:val="18"/>
                <w:szCs w:val="18"/>
              </w:rPr>
              <w:t xml:space="preserve">No other built form standards apply where unit is converted without addition or alteration. </w:t>
            </w:r>
          </w:p>
          <w:p w14:paraId="23E3F688" w14:textId="6816275B" w:rsidR="00D57090" w:rsidRPr="008303EF" w:rsidRDefault="008303EF" w:rsidP="008303EF">
            <w:pPr>
              <w:spacing w:before="40" w:after="40"/>
              <w:ind w:left="358" w:hanging="35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03EF">
              <w:rPr>
                <w:rFonts w:asciiTheme="minorHAnsi" w:hAnsiTheme="minorHAnsi" w:cstheme="minorHAnsi"/>
                <w:sz w:val="18"/>
                <w:szCs w:val="18"/>
              </w:rPr>
              <w:t>Refer rule for non-res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idential</w:t>
            </w:r>
            <w:r w:rsidRPr="008303E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4C28">
              <w:rPr>
                <w:rFonts w:asciiTheme="minorHAnsi" w:hAnsiTheme="minorHAnsi" w:cstheme="minorHAnsi"/>
                <w:sz w:val="18"/>
                <w:szCs w:val="18"/>
              </w:rPr>
              <w:t xml:space="preserve">activities </w:t>
            </w:r>
            <w:r w:rsidRPr="008303EF">
              <w:rPr>
                <w:rFonts w:asciiTheme="minorHAnsi" w:hAnsiTheme="minorHAnsi" w:cstheme="minorHAnsi"/>
                <w:sz w:val="18"/>
                <w:szCs w:val="18"/>
              </w:rPr>
              <w:t>and retirement village standards.</w:t>
            </w:r>
          </w:p>
        </w:tc>
        <w:tc>
          <w:tcPr>
            <w:tcW w:w="2693" w:type="dxa"/>
          </w:tcPr>
          <w:p w14:paraId="7B759738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2A41DA" w:rsidRPr="00331327" w14:paraId="0915DC3B" w14:textId="77777777" w:rsidTr="00807076">
        <w:tc>
          <w:tcPr>
            <w:tcW w:w="10377" w:type="dxa"/>
            <w:gridSpan w:val="5"/>
            <w:shd w:val="clear" w:color="auto" w:fill="E6E6E6"/>
            <w:vAlign w:val="center"/>
          </w:tcPr>
          <w:p w14:paraId="06E1375F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Other activity classifications</w:t>
            </w:r>
          </w:p>
        </w:tc>
      </w:tr>
      <w:tr w:rsidR="00FB0529" w:rsidRPr="00FB0529" w14:paraId="34D2F08E" w14:textId="77777777" w:rsidTr="00701F6C">
        <w:tc>
          <w:tcPr>
            <w:tcW w:w="564" w:type="dxa"/>
            <w:shd w:val="clear" w:color="auto" w:fill="auto"/>
          </w:tcPr>
          <w:p w14:paraId="26AE7710" w14:textId="77777777" w:rsidR="002A41DA" w:rsidRPr="00FB0529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FB052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52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FB0529">
              <w:rPr>
                <w:rFonts w:asciiTheme="minorHAnsi" w:hAnsiTheme="minorHAnsi" w:cstheme="minorHAnsi"/>
                <w:sz w:val="18"/>
                <w:szCs w:val="18"/>
              </w:rPr>
            </w:r>
            <w:r w:rsidRPr="00FB052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B052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  <w:shd w:val="clear" w:color="auto" w:fill="auto"/>
          </w:tcPr>
          <w:p w14:paraId="0E1A5A10" w14:textId="77777777" w:rsidR="002A41DA" w:rsidRPr="00FB0529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FB052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52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FB0529">
              <w:rPr>
                <w:rFonts w:asciiTheme="minorHAnsi" w:hAnsiTheme="minorHAnsi" w:cstheme="minorHAnsi"/>
                <w:sz w:val="18"/>
                <w:szCs w:val="18"/>
              </w:rPr>
            </w:r>
            <w:r w:rsidRPr="00FB052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B052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shd w:val="clear" w:color="auto" w:fill="auto"/>
          </w:tcPr>
          <w:p w14:paraId="23FDC299" w14:textId="77777777" w:rsidR="002A41DA" w:rsidRPr="00FB0529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FB052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52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FB0529">
              <w:rPr>
                <w:rFonts w:asciiTheme="minorHAnsi" w:hAnsiTheme="minorHAnsi" w:cstheme="minorHAnsi"/>
                <w:sz w:val="18"/>
                <w:szCs w:val="18"/>
              </w:rPr>
            </w:r>
            <w:r w:rsidRPr="00FB052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B052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91" w:type="dxa"/>
            <w:shd w:val="clear" w:color="auto" w:fill="auto"/>
          </w:tcPr>
          <w:p w14:paraId="591F368E" w14:textId="183B3875" w:rsidR="002A41DA" w:rsidRPr="00FB0529" w:rsidRDefault="002A41DA" w:rsidP="00A35C57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B0529">
              <w:rPr>
                <w:rFonts w:asciiTheme="minorHAnsi" w:hAnsiTheme="minorHAnsi" w:cstheme="minorHAnsi"/>
                <w:b/>
                <w:sz w:val="18"/>
                <w:szCs w:val="18"/>
              </w:rPr>
              <w:t>14</w:t>
            </w:r>
            <w:r w:rsidR="0013098E" w:rsidRPr="00FB0529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FB052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B0529" w:rsidRPr="00FB0529">
              <w:rPr>
                <w:rFonts w:asciiTheme="minorHAnsi" w:hAnsiTheme="minorHAnsi" w:cstheme="minorHAnsi"/>
                <w:b/>
                <w:sz w:val="18"/>
                <w:szCs w:val="18"/>
              </w:rPr>
              <w:t>5.</w:t>
            </w:r>
            <w:r w:rsidRPr="00FB0529">
              <w:rPr>
                <w:rFonts w:asciiTheme="minorHAnsi" w:hAnsiTheme="minorHAnsi" w:cstheme="minorHAnsi"/>
                <w:b/>
                <w:sz w:val="18"/>
                <w:szCs w:val="18"/>
              </w:rPr>
              <w:t>1.2 Controlled activities</w:t>
            </w:r>
          </w:p>
          <w:p w14:paraId="585DAC86" w14:textId="28CCB376" w:rsidR="002A41DA" w:rsidRPr="00FB0529" w:rsidRDefault="002A41DA" w:rsidP="0013098E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FB052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52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FB0529">
              <w:rPr>
                <w:rFonts w:asciiTheme="minorHAnsi" w:hAnsiTheme="minorHAnsi" w:cstheme="minorHAnsi"/>
                <w:sz w:val="18"/>
                <w:szCs w:val="18"/>
              </w:rPr>
            </w:r>
            <w:r w:rsidRPr="00FB052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B052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FB052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13098E" w:rsidRPr="00FB0529">
              <w:rPr>
                <w:rFonts w:asciiTheme="minorHAnsi" w:hAnsiTheme="minorHAnsi" w:cstheme="minorHAnsi"/>
                <w:sz w:val="18"/>
                <w:szCs w:val="18"/>
              </w:rPr>
              <w:t xml:space="preserve">Communal waste and recycling area not complying with BFS. </w:t>
            </w:r>
          </w:p>
        </w:tc>
        <w:tc>
          <w:tcPr>
            <w:tcW w:w="2693" w:type="dxa"/>
            <w:shd w:val="clear" w:color="auto" w:fill="auto"/>
          </w:tcPr>
          <w:p w14:paraId="1CB07550" w14:textId="77777777" w:rsidR="002A41DA" w:rsidRPr="00FB0529" w:rsidRDefault="002A41DA" w:rsidP="00A35C5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FB052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052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B0529">
              <w:rPr>
                <w:rFonts w:asciiTheme="minorHAnsi" w:hAnsiTheme="minorHAnsi" w:cstheme="minorHAnsi"/>
                <w:sz w:val="18"/>
                <w:szCs w:val="18"/>
              </w:rPr>
            </w:r>
            <w:r w:rsidRPr="00FB052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B05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B05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B05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B05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B05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B052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38912F5E" w14:textId="77777777" w:rsidR="002A41DA" w:rsidRPr="00FB0529" w:rsidRDefault="002A41DA" w:rsidP="00A35C5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5095" w:rsidRPr="002B5095" w14:paraId="4C1A0AE9" w14:textId="77777777" w:rsidTr="00701F6C">
        <w:tc>
          <w:tcPr>
            <w:tcW w:w="564" w:type="dxa"/>
          </w:tcPr>
          <w:p w14:paraId="1B635566" w14:textId="77777777" w:rsidR="002A41DA" w:rsidRPr="002B5095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4CCFED6A" w14:textId="77777777" w:rsidR="002A41DA" w:rsidRPr="002B5095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5FD3E0A9" w14:textId="77777777" w:rsidR="002A41DA" w:rsidRPr="002B5095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91" w:type="dxa"/>
          </w:tcPr>
          <w:p w14:paraId="5E5E9579" w14:textId="549C669C" w:rsidR="002A41DA" w:rsidRPr="002B5095" w:rsidRDefault="002A41DA" w:rsidP="00A35C57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14</w:t>
            </w:r>
            <w:r w:rsidR="000A4358"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2B5095"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.1.3 Restricted discretionary activities</w:t>
            </w:r>
          </w:p>
          <w:p w14:paraId="3D68257C" w14:textId="027BD6E9" w:rsidR="000A4358" w:rsidRPr="002B5095" w:rsidRDefault="002A41DA" w:rsidP="00FB0529">
            <w:pPr>
              <w:spacing w:before="40" w:after="40"/>
              <w:ind w:left="358" w:hanging="358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8303EF">
              <w:rPr>
                <w:rFonts w:asciiTheme="minorHAnsi" w:hAnsiTheme="minorHAnsi" w:cstheme="minorHAnsi"/>
                <w:sz w:val="18"/>
                <w:szCs w:val="18"/>
              </w:rPr>
              <w:t xml:space="preserve">RD1 </w:t>
            </w:r>
            <w:r w:rsidR="000A4358" w:rsidRPr="002B5095">
              <w:rPr>
                <w:rFonts w:asciiTheme="minorHAnsi" w:hAnsiTheme="minorHAnsi" w:cstheme="minorHAnsi"/>
                <w:sz w:val="18"/>
                <w:szCs w:val="18"/>
              </w:rPr>
              <w:t>New buildings &amp; alterations/additions to existing buildings (excl retirement villages) resulting in:</w:t>
            </w:r>
          </w:p>
          <w:p w14:paraId="4B4B09E4" w14:textId="77777777" w:rsidR="000A4358" w:rsidRPr="002B5095" w:rsidRDefault="000A4358" w:rsidP="00C1496A">
            <w:pPr>
              <w:numPr>
                <w:ilvl w:val="0"/>
                <w:numId w:val="11"/>
              </w:numPr>
              <w:spacing w:before="40" w:after="40"/>
              <w:ind w:left="641" w:hanging="236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>Four or more residential units</w:t>
            </w:r>
          </w:p>
          <w:p w14:paraId="3F2B07A7" w14:textId="3D006EA3" w:rsidR="000A4358" w:rsidRPr="002B5095" w:rsidRDefault="009F6729" w:rsidP="002B5095">
            <w:pPr>
              <w:numPr>
                <w:ilvl w:val="0"/>
                <w:numId w:val="11"/>
              </w:numPr>
              <w:spacing w:before="40" w:after="40"/>
              <w:ind w:left="641" w:hanging="236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>Over 40m</w:t>
            </w:r>
            <w:r w:rsidRPr="002B5095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 xml:space="preserve"> of a building used for non-res activities.</w:t>
            </w:r>
          </w:p>
          <w:p w14:paraId="6D8854FC" w14:textId="114A8146" w:rsidR="002B5095" w:rsidRPr="00591542" w:rsidRDefault="002B5095" w:rsidP="000A4358">
            <w:pPr>
              <w:spacing w:before="40" w:after="40"/>
              <w:ind w:left="358" w:hanging="358"/>
              <w:rPr>
                <w:rFonts w:asciiTheme="minorHAnsi" w:hAnsiTheme="minorHAnsi" w:cstheme="minorHAnsi"/>
                <w:sz w:val="18"/>
                <w:szCs w:val="18"/>
              </w:rPr>
            </w:pPr>
            <w:r w:rsidRPr="0059154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54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91542">
              <w:rPr>
                <w:rFonts w:asciiTheme="minorHAnsi" w:hAnsiTheme="minorHAnsi" w:cstheme="minorHAnsi"/>
                <w:sz w:val="18"/>
                <w:szCs w:val="18"/>
              </w:rPr>
            </w:r>
            <w:r w:rsidRPr="0059154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9154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9154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8303EF" w:rsidRPr="00414777">
              <w:rPr>
                <w:rFonts w:asciiTheme="minorHAnsi" w:hAnsiTheme="minorHAnsi" w:cstheme="minorHAnsi"/>
                <w:sz w:val="18"/>
                <w:szCs w:val="18"/>
              </w:rPr>
              <w:t xml:space="preserve">RD33 </w:t>
            </w:r>
            <w:r w:rsidR="00414777" w:rsidRPr="00414777">
              <w:rPr>
                <w:rFonts w:asciiTheme="minorHAnsi" w:hAnsiTheme="minorHAnsi" w:cstheme="minorHAnsi"/>
                <w:sz w:val="18"/>
                <w:szCs w:val="18"/>
              </w:rPr>
              <w:t>Four</w:t>
            </w:r>
            <w:r w:rsidR="00591542" w:rsidRPr="00414777">
              <w:rPr>
                <w:rFonts w:asciiTheme="minorHAnsi" w:hAnsiTheme="minorHAnsi" w:cstheme="minorHAnsi"/>
                <w:sz w:val="18"/>
                <w:szCs w:val="18"/>
              </w:rPr>
              <w:t xml:space="preserve"> or more residential units</w:t>
            </w:r>
            <w:r w:rsidRPr="00414777">
              <w:rPr>
                <w:rFonts w:asciiTheme="minorHAnsi" w:hAnsiTheme="minorHAnsi" w:cstheme="minorHAnsi"/>
                <w:sz w:val="18"/>
                <w:szCs w:val="18"/>
              </w:rPr>
              <w:t xml:space="preserve"> within 50 dB Air Noise Contour and/or 2023 Remodelled 50 dB Outer Envelope</w:t>
            </w:r>
            <w:r w:rsidR="00652366" w:rsidRPr="004147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91542" w:rsidRPr="00414777">
              <w:rPr>
                <w:rFonts w:asciiTheme="minorHAnsi" w:hAnsiTheme="minorHAnsi" w:cstheme="minorHAnsi"/>
                <w:sz w:val="18"/>
                <w:szCs w:val="18"/>
              </w:rPr>
              <w:t>(RD35)</w:t>
            </w:r>
            <w:r w:rsidR="008303EF" w:rsidRPr="00414777">
              <w:rPr>
                <w:rFonts w:asciiTheme="minorHAnsi" w:hAnsiTheme="minorHAnsi" w:cstheme="minorHAnsi"/>
                <w:sz w:val="18"/>
                <w:szCs w:val="18"/>
              </w:rPr>
              <w:t>, except within Airport Noise Exclusion Overlay</w:t>
            </w:r>
          </w:p>
          <w:p w14:paraId="54C82A8E" w14:textId="185A745C" w:rsidR="00591542" w:rsidRPr="002B5095" w:rsidRDefault="00591542" w:rsidP="000A4358">
            <w:pPr>
              <w:spacing w:before="40" w:after="40"/>
              <w:ind w:left="358" w:hanging="358"/>
              <w:rPr>
                <w:rFonts w:asciiTheme="minorHAnsi" w:hAnsiTheme="minorHAnsi" w:cstheme="minorHAnsi"/>
                <w:sz w:val="18"/>
                <w:szCs w:val="18"/>
              </w:rPr>
            </w:pPr>
            <w:r w:rsidRPr="0059154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54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91542">
              <w:rPr>
                <w:rFonts w:asciiTheme="minorHAnsi" w:hAnsiTheme="minorHAnsi" w:cstheme="minorHAnsi"/>
                <w:sz w:val="18"/>
                <w:szCs w:val="18"/>
              </w:rPr>
            </w:r>
            <w:r w:rsidRPr="0059154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9154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91542">
              <w:rPr>
                <w:rFonts w:asciiTheme="minorHAnsi" w:hAnsiTheme="minorHAnsi" w:cstheme="minorHAnsi"/>
                <w:sz w:val="18"/>
                <w:szCs w:val="18"/>
              </w:rPr>
              <w:tab/>
              <w:t>Specified sensitive activities within 50 dB Air Noise Contour and/or 2023 Remodelled 50 dB Outer Envelope</w:t>
            </w:r>
          </w:p>
          <w:p w14:paraId="2174BF48" w14:textId="6A8CACFA" w:rsidR="008A3687" w:rsidRPr="002B5095" w:rsidRDefault="000A4358" w:rsidP="008A3687">
            <w:pPr>
              <w:spacing w:before="40" w:after="40"/>
              <w:ind w:left="358" w:hanging="358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FB0529" w:rsidRPr="002B5095">
              <w:rPr>
                <w:rFonts w:asciiTheme="minorHAnsi" w:hAnsiTheme="minorHAnsi" w:cstheme="minorHAnsi"/>
                <w:sz w:val="18"/>
                <w:szCs w:val="18"/>
              </w:rPr>
              <w:t>Boarding house</w:t>
            </w:r>
            <w:r w:rsidR="0070236D">
              <w:rPr>
                <w:rFonts w:asciiTheme="minorHAnsi" w:hAnsiTheme="minorHAnsi" w:cstheme="minorHAnsi"/>
                <w:sz w:val="18"/>
                <w:szCs w:val="18"/>
              </w:rPr>
              <w:t xml:space="preserve">; </w:t>
            </w:r>
            <w:r w:rsidR="00FB0529" w:rsidRPr="002B5095">
              <w:rPr>
                <w:rFonts w:asciiTheme="minorHAnsi" w:hAnsiTheme="minorHAnsi" w:cstheme="minorHAnsi"/>
                <w:sz w:val="18"/>
                <w:szCs w:val="18"/>
              </w:rPr>
              <w:t>Student hostel</w:t>
            </w:r>
            <w:r w:rsidR="008303EF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8A3687" w:rsidRPr="002B5095">
              <w:rPr>
                <w:rFonts w:asciiTheme="minorHAnsi" w:hAnsiTheme="minorHAnsi" w:cstheme="minorHAnsi"/>
                <w:sz w:val="18"/>
                <w:szCs w:val="18"/>
              </w:rPr>
              <w:t xml:space="preserve"> 7-9 bedrooms</w:t>
            </w:r>
            <w:r w:rsidR="0070236D">
              <w:rPr>
                <w:rFonts w:asciiTheme="minorHAnsi" w:hAnsiTheme="minorHAnsi" w:cstheme="minorHAnsi"/>
                <w:sz w:val="18"/>
                <w:szCs w:val="18"/>
              </w:rPr>
              <w:t xml:space="preserve">; Convenience activities; </w:t>
            </w:r>
            <w:r w:rsidR="009F6729" w:rsidRPr="002B5095">
              <w:rPr>
                <w:rFonts w:asciiTheme="minorHAnsi" w:hAnsiTheme="minorHAnsi" w:cstheme="minorHAnsi"/>
                <w:sz w:val="18"/>
                <w:szCs w:val="18"/>
              </w:rPr>
              <w:t>Care facility</w:t>
            </w:r>
          </w:p>
          <w:p w14:paraId="6745460E" w14:textId="73726F3B" w:rsidR="002A41DA" w:rsidRPr="002B5095" w:rsidRDefault="002A41DA" w:rsidP="00FB0529">
            <w:pPr>
              <w:spacing w:before="40" w:after="40"/>
              <w:ind w:left="358" w:hanging="358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2B5095"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Other a</w:t>
            </w:r>
            <w:r w:rsidR="00C2702C"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ctivities</w:t>
            </w:r>
            <w:r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prescribed in this rule as a restricted discretionary activity </w:t>
            </w:r>
            <w:r w:rsidR="00C2702C"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due to non-compliance </w:t>
            </w:r>
            <w:r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with the specified </w:t>
            </w:r>
            <w:r w:rsidR="009F6729"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BF or activity specific </w:t>
            </w:r>
            <w:r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standards.</w:t>
            </w:r>
          </w:p>
        </w:tc>
        <w:tc>
          <w:tcPr>
            <w:tcW w:w="2693" w:type="dxa"/>
          </w:tcPr>
          <w:p w14:paraId="679D7FCB" w14:textId="77777777" w:rsidR="002A41DA" w:rsidRPr="002B5095" w:rsidRDefault="002A41DA" w:rsidP="00A35C5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50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50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50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50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203C807D" w14:textId="77777777" w:rsidR="002A41DA" w:rsidRPr="002B5095" w:rsidRDefault="002A41DA" w:rsidP="00A35C5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5095" w:rsidRPr="002B5095" w14:paraId="795CD752" w14:textId="77777777" w:rsidTr="00701F6C">
        <w:tc>
          <w:tcPr>
            <w:tcW w:w="564" w:type="dxa"/>
          </w:tcPr>
          <w:p w14:paraId="1E215BC5" w14:textId="77777777" w:rsidR="002A41DA" w:rsidRPr="002B5095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00CA6737" w14:textId="77777777" w:rsidR="002A41DA" w:rsidRPr="002B5095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6FE669DE" w14:textId="77777777" w:rsidR="002A41DA" w:rsidRPr="002B5095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91" w:type="dxa"/>
          </w:tcPr>
          <w:p w14:paraId="75784F06" w14:textId="1B8E24E2" w:rsidR="002A41DA" w:rsidRPr="002B5095" w:rsidRDefault="002A41DA" w:rsidP="00A35C57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14</w:t>
            </w:r>
            <w:r w:rsidR="00D86E3F"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2B5095"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5.</w:t>
            </w:r>
            <w:r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1.4 Discretionary activities</w:t>
            </w:r>
          </w:p>
          <w:p w14:paraId="237C9BC8" w14:textId="0AA0BE59" w:rsidR="002A41DA" w:rsidRPr="002B5095" w:rsidRDefault="002A41DA" w:rsidP="00A35C57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2B5095" w:rsidRPr="002B5095">
              <w:rPr>
                <w:rFonts w:asciiTheme="minorHAnsi" w:hAnsiTheme="minorHAnsi" w:cstheme="minorHAnsi"/>
                <w:sz w:val="18"/>
                <w:szCs w:val="18"/>
              </w:rPr>
              <w:t>Student hostels 10+ bedrooms</w:t>
            </w:r>
          </w:p>
          <w:p w14:paraId="7E711235" w14:textId="21E348C0" w:rsidR="002A41DA" w:rsidRPr="002B5095" w:rsidRDefault="002A41DA" w:rsidP="00A35C57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2B5095" w:rsidRPr="002B5095">
              <w:rPr>
                <w:rFonts w:asciiTheme="minorHAnsi" w:hAnsiTheme="minorHAnsi" w:cstheme="minorHAnsi"/>
                <w:sz w:val="18"/>
                <w:szCs w:val="18"/>
              </w:rPr>
              <w:t>Show homes</w:t>
            </w:r>
          </w:p>
          <w:p w14:paraId="09B25584" w14:textId="724E183E" w:rsidR="002B5095" w:rsidRPr="002B5095" w:rsidRDefault="002B5095" w:rsidP="002B5095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414777">
              <w:rPr>
                <w:rFonts w:asciiTheme="minorHAnsi" w:hAnsiTheme="minorHAnsi" w:cstheme="minorHAnsi"/>
                <w:sz w:val="18"/>
                <w:szCs w:val="18"/>
              </w:rPr>
              <w:t>Brownfield mixed use redevelopment – Deans Ave/Saleyards</w:t>
            </w:r>
          </w:p>
          <w:p w14:paraId="40BDBF7C" w14:textId="5BBD1B6A" w:rsidR="002B5095" w:rsidRPr="002B5095" w:rsidRDefault="002B5095" w:rsidP="002B5095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ab/>
              <w:t>Home occupation &gt; 40% of the res unit GFA (excl detached accessory buildings)</w:t>
            </w:r>
          </w:p>
          <w:p w14:paraId="1F70F176" w14:textId="6F99386E" w:rsidR="002A41DA" w:rsidRPr="002B5095" w:rsidRDefault="002A41DA" w:rsidP="00A35C57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2C3A58"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ctivit</w:t>
            </w:r>
            <w:r w:rsidR="002C3A58"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ies</w:t>
            </w:r>
            <w:r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prescribed in this rule as a discretionary activity </w:t>
            </w:r>
            <w:r w:rsidR="002C3A58"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due to non-compliance</w:t>
            </w:r>
            <w:r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with the specified standards.</w: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AEBF4E3" w14:textId="77777777" w:rsidR="002A41DA" w:rsidRPr="002B5095" w:rsidRDefault="002A41DA" w:rsidP="00A35C57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Any activity not otherwise provided for as a permitted, controlled, restricted discretionary, non-complying or prohibited activity.</w:t>
            </w:r>
          </w:p>
        </w:tc>
        <w:tc>
          <w:tcPr>
            <w:tcW w:w="2693" w:type="dxa"/>
          </w:tcPr>
          <w:p w14:paraId="591E8B12" w14:textId="77777777" w:rsidR="002A41DA" w:rsidRPr="002B5095" w:rsidRDefault="002A41DA" w:rsidP="00A35C5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50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50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50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50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03CA0CE1" w14:textId="77777777" w:rsidR="002A41DA" w:rsidRPr="002B5095" w:rsidRDefault="002A41DA" w:rsidP="00A35C5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5095" w:rsidRPr="002B5095" w14:paraId="790733CE" w14:textId="77777777" w:rsidTr="00701F6C">
        <w:tc>
          <w:tcPr>
            <w:tcW w:w="564" w:type="dxa"/>
          </w:tcPr>
          <w:p w14:paraId="79BD5ED8" w14:textId="77777777" w:rsidR="002A41DA" w:rsidRPr="002B5095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70EC809F" w14:textId="77777777" w:rsidR="002A41DA" w:rsidRPr="002B5095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3C0F5337" w14:textId="77777777" w:rsidR="002A41DA" w:rsidRPr="002B5095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91" w:type="dxa"/>
          </w:tcPr>
          <w:p w14:paraId="32F83DC6" w14:textId="01AB981F" w:rsidR="002A41DA" w:rsidRPr="002B5095" w:rsidRDefault="002A41DA" w:rsidP="00A35C57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14</w:t>
            </w:r>
            <w:r w:rsidR="00D86E3F"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CA4A21">
              <w:rPr>
                <w:rFonts w:asciiTheme="minorHAnsi" w:hAnsiTheme="minorHAnsi" w:cstheme="minorHAnsi"/>
                <w:b/>
                <w:sz w:val="18"/>
                <w:szCs w:val="18"/>
              </w:rPr>
              <w:t>5.</w:t>
            </w:r>
            <w:r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1.5 Non-complying activities</w:t>
            </w:r>
          </w:p>
          <w:p w14:paraId="140D3C73" w14:textId="4E70D6EB" w:rsidR="002A41DA" w:rsidRDefault="002A41DA" w:rsidP="002B5095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2B5095" w:rsidRPr="002B5095">
              <w:rPr>
                <w:rFonts w:asciiTheme="minorHAnsi" w:hAnsiTheme="minorHAnsi" w:cstheme="minorHAnsi"/>
                <w:sz w:val="18"/>
                <w:szCs w:val="18"/>
              </w:rPr>
              <w:t>Sensitive activities and buildings near National Grid</w:t>
            </w:r>
            <w:r w:rsidR="002C6472">
              <w:rPr>
                <w:rFonts w:asciiTheme="minorHAnsi" w:hAnsiTheme="minorHAnsi" w:cstheme="minorHAnsi"/>
                <w:sz w:val="18"/>
                <w:szCs w:val="18"/>
              </w:rPr>
              <w:t xml:space="preserve">/electricity distribution </w:t>
            </w:r>
            <w:r w:rsidR="002B5095" w:rsidRPr="002B5095">
              <w:rPr>
                <w:rFonts w:asciiTheme="minorHAnsi" w:hAnsiTheme="minorHAnsi" w:cstheme="minorHAnsi"/>
                <w:sz w:val="18"/>
                <w:szCs w:val="18"/>
              </w:rPr>
              <w:t>lines/structures</w:t>
            </w:r>
          </w:p>
          <w:p w14:paraId="100C512F" w14:textId="51183C10" w:rsidR="002C6472" w:rsidRDefault="002C6472" w:rsidP="002B5095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Res unit requirements - Industrial Interface Overlay</w:t>
            </w:r>
          </w:p>
          <w:p w14:paraId="1A758515" w14:textId="58D936B9" w:rsidR="002C6472" w:rsidRPr="002B5095" w:rsidRDefault="002C6472" w:rsidP="002B5095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F1135C">
              <w:rPr>
                <w:rFonts w:asciiTheme="minorHAnsi" w:hAnsiTheme="minorHAnsi" w:cstheme="minorHAnsi"/>
                <w:sz w:val="18"/>
                <w:szCs w:val="18"/>
              </w:rPr>
              <w:t>Visitor accommodation - other</w:t>
            </w:r>
          </w:p>
        </w:tc>
        <w:tc>
          <w:tcPr>
            <w:tcW w:w="2693" w:type="dxa"/>
          </w:tcPr>
          <w:p w14:paraId="297F283C" w14:textId="77777777" w:rsidR="002A41DA" w:rsidRPr="002B5095" w:rsidRDefault="002A41DA" w:rsidP="00A35C5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50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50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50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50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0E3742B8" w14:textId="77777777" w:rsidR="002A41DA" w:rsidRPr="002B5095" w:rsidRDefault="002A41DA" w:rsidP="00A35C5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A95B35F" w14:textId="77777777" w:rsidR="00D333CB" w:rsidRDefault="00D333CB" w:rsidP="006B4408">
      <w:pPr>
        <w:pStyle w:val="Title"/>
        <w:ind w:left="1134" w:hanging="1134"/>
        <w:jc w:val="left"/>
        <w:rPr>
          <w:rFonts w:ascii="Arial" w:hAnsi="Arial" w:cs="Arial"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554"/>
        <w:gridCol w:w="566"/>
        <w:gridCol w:w="6016"/>
        <w:gridCol w:w="2770"/>
      </w:tblGrid>
      <w:tr w:rsidR="00701F6C" w:rsidRPr="004E4F07" w14:paraId="2E82AD6C" w14:textId="77777777" w:rsidTr="0062702E">
        <w:trPr>
          <w:cantSplit/>
          <w:trHeight w:val="333"/>
          <w:tblHeader/>
        </w:trPr>
        <w:tc>
          <w:tcPr>
            <w:tcW w:w="10456" w:type="dxa"/>
            <w:gridSpan w:val="5"/>
            <w:shd w:val="clear" w:color="auto" w:fill="00B050"/>
          </w:tcPr>
          <w:p w14:paraId="046B96BE" w14:textId="5854F1AF" w:rsidR="00701F6C" w:rsidRPr="004E4F07" w:rsidRDefault="00701F6C" w:rsidP="002B6F6A">
            <w:pPr>
              <w:pStyle w:val="Title"/>
              <w:spacing w:before="20" w:after="20"/>
              <w:jc w:val="left"/>
              <w:rPr>
                <w:rFonts w:asciiTheme="minorHAnsi" w:hAnsiTheme="minorHAnsi" w:cstheme="minorHAnsi"/>
                <w:color w:val="FFFFFF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color w:val="FFFFFF"/>
                <w:sz w:val="24"/>
                <w:szCs w:val="22"/>
              </w:rPr>
              <w:t>Built form standards</w:t>
            </w:r>
          </w:p>
        </w:tc>
      </w:tr>
      <w:tr w:rsidR="00701F6C" w:rsidRPr="00E97133" w14:paraId="35C6F4C5" w14:textId="77777777" w:rsidTr="00701F6C">
        <w:trPr>
          <w:cantSplit/>
          <w:trHeight w:val="169"/>
          <w:tblHeader/>
        </w:trPr>
        <w:tc>
          <w:tcPr>
            <w:tcW w:w="1696" w:type="dxa"/>
            <w:gridSpan w:val="3"/>
          </w:tcPr>
          <w:p w14:paraId="5C0EC802" w14:textId="252C0F44" w:rsidR="00701F6C" w:rsidRPr="00E97133" w:rsidRDefault="00701F6C" w:rsidP="004E4F07">
            <w:pPr>
              <w:pStyle w:val="Title"/>
              <w:jc w:val="left"/>
              <w:rPr>
                <w:rFonts w:asciiTheme="minorHAnsi" w:hAnsiTheme="minorHAnsi" w:cstheme="minorHAnsi"/>
                <w:szCs w:val="18"/>
              </w:rPr>
            </w:pPr>
            <w:r w:rsidRPr="00E97133">
              <w:rPr>
                <w:rFonts w:asciiTheme="minorHAnsi" w:hAnsiTheme="minorHAnsi" w:cstheme="minorHAnsi"/>
                <w:szCs w:val="18"/>
              </w:rPr>
              <w:t>Complies</w:t>
            </w:r>
          </w:p>
        </w:tc>
        <w:tc>
          <w:tcPr>
            <w:tcW w:w="5812" w:type="dxa"/>
            <w:vMerge w:val="restart"/>
            <w:vAlign w:val="center"/>
          </w:tcPr>
          <w:p w14:paraId="3E1BD097" w14:textId="6AD046A9" w:rsidR="00701F6C" w:rsidRPr="00E97133" w:rsidRDefault="00701F6C" w:rsidP="004E4F07">
            <w:pPr>
              <w:pStyle w:val="Title"/>
              <w:jc w:val="left"/>
              <w:rPr>
                <w:rFonts w:asciiTheme="minorHAnsi" w:hAnsiTheme="minorHAnsi" w:cstheme="minorHAnsi"/>
                <w:szCs w:val="18"/>
              </w:rPr>
            </w:pPr>
            <w:r w:rsidRPr="00E97133">
              <w:rPr>
                <w:rFonts w:asciiTheme="minorHAnsi" w:hAnsiTheme="minorHAnsi" w:cstheme="minorHAnsi"/>
                <w:szCs w:val="18"/>
              </w:rPr>
              <w:t>Rule</w:t>
            </w:r>
          </w:p>
        </w:tc>
        <w:tc>
          <w:tcPr>
            <w:tcW w:w="2948" w:type="dxa"/>
            <w:vMerge w:val="restart"/>
            <w:vAlign w:val="center"/>
          </w:tcPr>
          <w:p w14:paraId="4C1DFEDB" w14:textId="77777777" w:rsidR="00701F6C" w:rsidRPr="00E97133" w:rsidRDefault="00701F6C" w:rsidP="004E4F07">
            <w:pPr>
              <w:pStyle w:val="Title"/>
              <w:jc w:val="left"/>
              <w:rPr>
                <w:rFonts w:asciiTheme="minorHAnsi" w:hAnsiTheme="minorHAnsi" w:cstheme="minorHAnsi"/>
                <w:szCs w:val="18"/>
              </w:rPr>
            </w:pPr>
            <w:r w:rsidRPr="00E97133">
              <w:rPr>
                <w:rFonts w:asciiTheme="minorHAnsi" w:hAnsiTheme="minorHAnsi" w:cstheme="minorHAnsi"/>
                <w:szCs w:val="18"/>
              </w:rPr>
              <w:t>Comments</w:t>
            </w:r>
          </w:p>
        </w:tc>
      </w:tr>
      <w:tr w:rsidR="00701F6C" w:rsidRPr="00E97133" w14:paraId="731E1B39" w14:textId="77777777" w:rsidTr="00701F6C">
        <w:trPr>
          <w:cantSplit/>
          <w:trHeight w:val="113"/>
          <w:tblHeader/>
        </w:trPr>
        <w:tc>
          <w:tcPr>
            <w:tcW w:w="562" w:type="dxa"/>
            <w:vAlign w:val="center"/>
          </w:tcPr>
          <w:p w14:paraId="07C9E343" w14:textId="35D12FE4" w:rsidR="00701F6C" w:rsidRPr="00E97133" w:rsidRDefault="00701F6C" w:rsidP="00701F6C">
            <w:pPr>
              <w:pStyle w:val="Title"/>
              <w:rPr>
                <w:rFonts w:asciiTheme="minorHAnsi" w:hAnsiTheme="minorHAnsi" w:cstheme="minorHAnsi"/>
                <w:szCs w:val="18"/>
              </w:rPr>
            </w:pPr>
            <w:r w:rsidRPr="00E97133">
              <w:rPr>
                <w:rFonts w:asciiTheme="minorHAnsi" w:hAnsiTheme="minorHAnsi" w:cstheme="minorHAnsi"/>
                <w:szCs w:val="18"/>
              </w:rPr>
              <w:t>Y</w:t>
            </w:r>
          </w:p>
        </w:tc>
        <w:tc>
          <w:tcPr>
            <w:tcW w:w="567" w:type="dxa"/>
            <w:vAlign w:val="center"/>
          </w:tcPr>
          <w:p w14:paraId="2CA901E9" w14:textId="362E7F07" w:rsidR="00701F6C" w:rsidRPr="00E97133" w:rsidRDefault="00701F6C" w:rsidP="00701F6C">
            <w:pPr>
              <w:pStyle w:val="Title"/>
              <w:rPr>
                <w:rFonts w:asciiTheme="minorHAnsi" w:hAnsiTheme="minorHAnsi" w:cstheme="minorHAnsi"/>
                <w:szCs w:val="18"/>
              </w:rPr>
            </w:pPr>
            <w:r w:rsidRPr="00E97133">
              <w:rPr>
                <w:rFonts w:asciiTheme="minorHAnsi" w:hAnsiTheme="minorHAnsi" w:cstheme="minorHAnsi"/>
                <w:szCs w:val="18"/>
              </w:rPr>
              <w:t>N</w:t>
            </w:r>
          </w:p>
        </w:tc>
        <w:tc>
          <w:tcPr>
            <w:tcW w:w="567" w:type="dxa"/>
            <w:vAlign w:val="center"/>
          </w:tcPr>
          <w:p w14:paraId="6ABB010A" w14:textId="1F571D5A" w:rsidR="00701F6C" w:rsidRPr="00E97133" w:rsidRDefault="00701F6C" w:rsidP="00701F6C">
            <w:pPr>
              <w:pStyle w:val="Title"/>
              <w:rPr>
                <w:rFonts w:asciiTheme="minorHAnsi" w:hAnsiTheme="minorHAnsi" w:cstheme="minorHAnsi"/>
                <w:szCs w:val="18"/>
              </w:rPr>
            </w:pPr>
            <w:r w:rsidRPr="00E97133">
              <w:rPr>
                <w:rFonts w:asciiTheme="minorHAnsi" w:hAnsiTheme="minorHAnsi" w:cstheme="minorHAnsi"/>
                <w:szCs w:val="18"/>
              </w:rPr>
              <w:t>N</w:t>
            </w:r>
            <w:r>
              <w:rPr>
                <w:rFonts w:asciiTheme="minorHAnsi" w:hAnsiTheme="minorHAnsi" w:cstheme="minorHAnsi"/>
                <w:szCs w:val="18"/>
              </w:rPr>
              <w:t>/A</w:t>
            </w:r>
          </w:p>
        </w:tc>
        <w:tc>
          <w:tcPr>
            <w:tcW w:w="5812" w:type="dxa"/>
            <w:vMerge/>
            <w:vAlign w:val="center"/>
          </w:tcPr>
          <w:p w14:paraId="2323BBB8" w14:textId="77777777" w:rsidR="00701F6C" w:rsidRPr="00E97133" w:rsidRDefault="00701F6C" w:rsidP="00701F6C">
            <w:pPr>
              <w:pStyle w:val="Title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948" w:type="dxa"/>
            <w:vMerge/>
            <w:vAlign w:val="center"/>
          </w:tcPr>
          <w:p w14:paraId="2CE54894" w14:textId="77777777" w:rsidR="00701F6C" w:rsidRPr="00E97133" w:rsidRDefault="00701F6C" w:rsidP="00701F6C">
            <w:pPr>
              <w:pStyle w:val="Title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701F6C" w:rsidRPr="00E97133" w14:paraId="607C64A3" w14:textId="77777777" w:rsidTr="00701F6C">
        <w:tc>
          <w:tcPr>
            <w:tcW w:w="562" w:type="dxa"/>
          </w:tcPr>
          <w:p w14:paraId="5AE75877" w14:textId="2A2E2220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7731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31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77317">
              <w:rPr>
                <w:rFonts w:asciiTheme="minorHAnsi" w:hAnsiTheme="minorHAnsi" w:cstheme="minorHAnsi"/>
                <w:sz w:val="18"/>
                <w:szCs w:val="18"/>
              </w:rPr>
            </w:r>
            <w:r w:rsidRPr="0027731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7731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E3C0DFC" w14:textId="67203D95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10F1812C" w14:textId="77777777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12" w:type="dxa"/>
          </w:tcPr>
          <w:p w14:paraId="1BF53BF2" w14:textId="5E75ADD7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14A.5.2.1 Site density</w:t>
            </w:r>
          </w:p>
          <w:p w14:paraId="12EC8B9F" w14:textId="77777777" w:rsidR="00701F6C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No density rule other than 14A.5.3 Area Specific Standards</w:t>
            </w:r>
          </w:p>
          <w:p w14:paraId="76BC2A11" w14:textId="0FB12D20" w:rsidR="005C4C28" w:rsidRPr="00E97133" w:rsidRDefault="005C4C28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2948" w:type="dxa"/>
          </w:tcPr>
          <w:p w14:paraId="39CF4AFB" w14:textId="77777777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01F6C" w:rsidRPr="00E97133" w14:paraId="4B987AA6" w14:textId="77777777" w:rsidTr="00701F6C">
        <w:tc>
          <w:tcPr>
            <w:tcW w:w="562" w:type="dxa"/>
          </w:tcPr>
          <w:p w14:paraId="59353368" w14:textId="46DFFAAB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7731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31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77317">
              <w:rPr>
                <w:rFonts w:asciiTheme="minorHAnsi" w:hAnsiTheme="minorHAnsi" w:cstheme="minorHAnsi"/>
                <w:sz w:val="18"/>
                <w:szCs w:val="18"/>
              </w:rPr>
            </w:r>
            <w:r w:rsidRPr="0027731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7731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bookmarkStart w:id="1" w:name="Check6"/>
        <w:tc>
          <w:tcPr>
            <w:tcW w:w="567" w:type="dxa"/>
          </w:tcPr>
          <w:p w14:paraId="68B7D923" w14:textId="7839B72D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"/>
          </w:p>
        </w:tc>
        <w:bookmarkStart w:id="2" w:name="Check5"/>
        <w:tc>
          <w:tcPr>
            <w:tcW w:w="567" w:type="dxa"/>
          </w:tcPr>
          <w:p w14:paraId="70120D9F" w14:textId="77777777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812" w:type="dxa"/>
          </w:tcPr>
          <w:p w14:paraId="7FA17AE7" w14:textId="76613057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1715C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31715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31715C">
              <w:rPr>
                <w:rFonts w:asciiTheme="minorHAnsi" w:hAnsiTheme="minorHAnsi" w:cstheme="minorHAnsi"/>
                <w:sz w:val="18"/>
                <w:szCs w:val="18"/>
              </w:rPr>
              <w:t>.2.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 xml:space="preserve"> Landscaped area</w:t>
            </w:r>
          </w:p>
          <w:p w14:paraId="70F4F0B8" w14:textId="77777777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R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esidential unit at ground floor level:</w:t>
            </w:r>
          </w:p>
          <w:p w14:paraId="7FC3A5F8" w14:textId="77777777" w:rsidR="00701F6C" w:rsidRPr="00E97133" w:rsidRDefault="00701F6C" w:rsidP="00701F6C">
            <w:pPr>
              <w:pStyle w:val="Title"/>
              <w:numPr>
                <w:ilvl w:val="0"/>
                <w:numId w:val="1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Minimum 20% of the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developed 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site in grass or plants</w:t>
            </w:r>
          </w:p>
          <w:p w14:paraId="0FC3274A" w14:textId="77777777" w:rsidR="00701F6C" w:rsidRPr="00E97133" w:rsidRDefault="00701F6C" w:rsidP="00701F6C">
            <w:pPr>
              <w:pStyle w:val="Title"/>
              <w:numPr>
                <w:ilvl w:val="0"/>
                <w:numId w:val="1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Can include canopy of trees regardless of ground treatment below  </w:t>
            </w:r>
          </w:p>
          <w:p w14:paraId="06E525ED" w14:textId="0740BBE4" w:rsidR="00701F6C" w:rsidRPr="00734B47" w:rsidRDefault="00701F6C" w:rsidP="00701F6C">
            <w:pPr>
              <w:pStyle w:val="Title"/>
              <w:numPr>
                <w:ilvl w:val="0"/>
                <w:numId w:val="1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D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oesn’t need to be associated with individual units. </w:t>
            </w:r>
          </w:p>
          <w:p w14:paraId="1FECAE6C" w14:textId="77777777" w:rsidR="00701F6C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t>Non-residential developments:</w:t>
            </w:r>
          </w:p>
          <w:p w14:paraId="2209890E" w14:textId="79EF310D" w:rsidR="00701F6C" w:rsidRPr="00734B47" w:rsidRDefault="00701F6C" w:rsidP="00701F6C">
            <w:pPr>
              <w:pStyle w:val="Title"/>
              <w:numPr>
                <w:ilvl w:val="0"/>
                <w:numId w:val="1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34B4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Minimum 20% of the site in landscaping, with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m</w:t>
            </w:r>
            <w:r w:rsidRPr="00734B47">
              <w:rPr>
                <w:rFonts w:asciiTheme="minorHAnsi" w:hAnsiTheme="minorHAnsi" w:cstheme="minorHAnsi"/>
                <w:b w:val="0"/>
                <w:sz w:val="18"/>
                <w:szCs w:val="18"/>
              </w:rPr>
              <w:t>in 50% in trees and shrubs</w:t>
            </w:r>
          </w:p>
          <w:p w14:paraId="5D3AB2C3" w14:textId="76C40FB0" w:rsidR="00701F6C" w:rsidRDefault="00701F6C" w:rsidP="00701F6C">
            <w:pPr>
              <w:pStyle w:val="Title"/>
              <w:numPr>
                <w:ilvl w:val="0"/>
                <w:numId w:val="1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Must include one tree/250m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gross site area (prior to subdivision), or part thereof</w:t>
            </w:r>
          </w:p>
          <w:p w14:paraId="0CE015E9" w14:textId="77777777" w:rsidR="00701F6C" w:rsidRDefault="00701F6C" w:rsidP="00701F6C">
            <w:pPr>
              <w:pStyle w:val="Title"/>
              <w:numPr>
                <w:ilvl w:val="0"/>
                <w:numId w:val="1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At least one tree adjacent to road boundary</w:t>
            </w:r>
          </w:p>
          <w:p w14:paraId="2FE8CE4A" w14:textId="397D0971" w:rsidR="00701F6C" w:rsidRPr="00E97133" w:rsidRDefault="00701F6C" w:rsidP="00701F6C">
            <w:pPr>
              <w:pStyle w:val="Title"/>
              <w:numPr>
                <w:ilvl w:val="0"/>
                <w:numId w:val="1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Trees must be 1.5m min height at time of planting.</w:t>
            </w:r>
          </w:p>
          <w:p w14:paraId="448B0B31" w14:textId="77777777" w:rsidR="00701F6C" w:rsidRDefault="00701F6C" w:rsidP="00701F6C">
            <w:pPr>
              <w:pStyle w:val="Title"/>
              <w:numPr>
                <w:ilvl w:val="0"/>
                <w:numId w:val="1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May include private or communal open space in residential developments.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113EB27F" w14:textId="4624E3BB" w:rsidR="00701F6C" w:rsidRPr="00F1135C" w:rsidRDefault="00701F6C" w:rsidP="00701F6C">
            <w:pPr>
              <w:pStyle w:val="Title"/>
              <w:numPr>
                <w:ilvl w:val="0"/>
                <w:numId w:val="1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Salvation Army Addington Overlay – landscape plan required.</w:t>
            </w:r>
          </w:p>
        </w:tc>
        <w:tc>
          <w:tcPr>
            <w:tcW w:w="2948" w:type="dxa"/>
          </w:tcPr>
          <w:p w14:paraId="2D525BCC" w14:textId="77777777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01F6C" w:rsidRPr="00E97133" w14:paraId="00FDDD58" w14:textId="77777777" w:rsidTr="00701F6C">
        <w:tc>
          <w:tcPr>
            <w:tcW w:w="562" w:type="dxa"/>
          </w:tcPr>
          <w:p w14:paraId="0AC3CA6C" w14:textId="19A0522F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7731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31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77317">
              <w:rPr>
                <w:rFonts w:asciiTheme="minorHAnsi" w:hAnsiTheme="minorHAnsi" w:cstheme="minorHAnsi"/>
                <w:sz w:val="18"/>
                <w:szCs w:val="18"/>
              </w:rPr>
            </w:r>
            <w:r w:rsidRPr="0027731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7731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50C6D2D" w14:textId="6901F292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8C50C52" w14:textId="77777777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12" w:type="dxa"/>
          </w:tcPr>
          <w:p w14:paraId="6A768FBC" w14:textId="3410986D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>.5.2.3 Building height</w:t>
            </w:r>
          </w:p>
          <w:p w14:paraId="0F269DAA" w14:textId="696DF3E6" w:rsidR="00701F6C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11m, except that 50% of a building’s roof in elevation can exceed this by 1m where entire roof slopes 15° or more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: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42B6C4BC" w14:textId="77777777" w:rsidR="00701F6C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DB85E2D" wp14:editId="63346460">
                  <wp:extent cx="2768920" cy="2028190"/>
                  <wp:effectExtent l="0" t="0" r="0" b="0"/>
                  <wp:docPr id="9157507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75076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701" cy="203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B6E890" w14:textId="77777777" w:rsidR="007A0648" w:rsidRDefault="007A0648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369CF099" w14:textId="00C272B3" w:rsidR="00701F6C" w:rsidRPr="00734B47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34B47">
              <w:rPr>
                <w:rFonts w:asciiTheme="minorHAnsi" w:hAnsiTheme="minorHAnsi" w:cstheme="minorHAnsi"/>
                <w:b w:val="0"/>
                <w:sz w:val="18"/>
                <w:szCs w:val="18"/>
              </w:rPr>
              <w:t>MRZ in St Albans ODP Area A – 14m</w:t>
            </w:r>
          </w:p>
          <w:p w14:paraId="0FE1B583" w14:textId="213F5843" w:rsidR="00701F6C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pPr>
            <w:r w:rsidRPr="00734B47">
              <w:rPr>
                <w:rFonts w:asciiTheme="minorHAnsi" w:hAnsiTheme="minorHAnsi" w:cstheme="minorHAnsi"/>
                <w:b w:val="0"/>
                <w:sz w:val="18"/>
                <w:szCs w:val="18"/>
              </w:rPr>
              <w:t>RMD Higher Height Limit Overlay - Carlton Mill 30m, all others 5 storeys above ground level.</w:t>
            </w:r>
            <w:r w:rsidR="00846D4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5A75690A" w14:textId="50D09862" w:rsidR="007A0648" w:rsidRPr="00414777" w:rsidRDefault="00414777" w:rsidP="007A064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14777">
              <w:rPr>
                <w:rFonts w:asciiTheme="minorHAnsi" w:hAnsiTheme="minorHAnsi" w:cstheme="minorHAnsi"/>
                <w:b w:val="0"/>
                <w:sz w:val="18"/>
                <w:szCs w:val="18"/>
              </w:rPr>
              <w:t>Higher Height Precinct/Overlay</w:t>
            </w:r>
            <w:r w:rsidR="007A0648" w:rsidRPr="0041477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Pr="0041477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25 </w:t>
            </w:r>
            <w:r w:rsidR="007A0648" w:rsidRPr="0041477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Deans Ave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- </w:t>
            </w:r>
            <w:r w:rsidRPr="00414777">
              <w:rPr>
                <w:rFonts w:asciiTheme="minorHAnsi" w:hAnsiTheme="minorHAnsi" w:cstheme="minorHAnsi"/>
                <w:b w:val="0"/>
                <w:sz w:val="18"/>
                <w:szCs w:val="18"/>
              </w:rPr>
              <w:t>36</w:t>
            </w:r>
            <w:r w:rsidR="007A0648" w:rsidRPr="0041477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m </w:t>
            </w:r>
          </w:p>
          <w:p w14:paraId="07B80DA9" w14:textId="6D72C33D" w:rsidR="00701F6C" w:rsidRPr="00734B47" w:rsidRDefault="007A0648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14777">
              <w:rPr>
                <w:rFonts w:asciiTheme="minorHAnsi" w:hAnsiTheme="minorHAnsi" w:cstheme="minorHAnsi"/>
                <w:b w:val="0"/>
                <w:sz w:val="18"/>
                <w:szCs w:val="18"/>
              </w:rPr>
              <w:t>Local Centre Intensification Precinct</w:t>
            </w:r>
            <w:r w:rsidR="00701F6C" w:rsidRPr="0041477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–</w:t>
            </w:r>
            <w:r w:rsidRPr="0041477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12</w:t>
            </w:r>
            <w:r w:rsidR="00701F6C" w:rsidRPr="0041477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m </w:t>
            </w:r>
          </w:p>
          <w:p w14:paraId="15A778BF" w14:textId="77777777" w:rsidR="00701F6C" w:rsidRPr="00734B47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34B47">
              <w:rPr>
                <w:rFonts w:asciiTheme="minorHAnsi" w:hAnsiTheme="minorHAnsi" w:cstheme="minorHAnsi"/>
                <w:b w:val="0"/>
                <w:sz w:val="18"/>
                <w:szCs w:val="18"/>
              </w:rPr>
              <w:t>FENZ emergency services facilities – 14m</w:t>
            </w:r>
          </w:p>
          <w:p w14:paraId="6175195A" w14:textId="195B282A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pPr>
            <w:r w:rsidRPr="00734B47">
              <w:rPr>
                <w:rFonts w:asciiTheme="minorHAnsi" w:hAnsiTheme="minorHAnsi" w:cstheme="minorHAnsi"/>
                <w:b w:val="0"/>
                <w:sz w:val="18"/>
                <w:szCs w:val="18"/>
              </w:rPr>
              <w:t>929 Ferry Rd – 20m</w:t>
            </w:r>
          </w:p>
        </w:tc>
        <w:tc>
          <w:tcPr>
            <w:tcW w:w="2948" w:type="dxa"/>
          </w:tcPr>
          <w:p w14:paraId="645A8DC6" w14:textId="77777777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01F6C" w:rsidRPr="00E97133" w14:paraId="7C57D574" w14:textId="77777777" w:rsidTr="00701F6C">
        <w:tc>
          <w:tcPr>
            <w:tcW w:w="562" w:type="dxa"/>
          </w:tcPr>
          <w:p w14:paraId="72D759C1" w14:textId="4DEC73CA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059B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9B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059B2">
              <w:rPr>
                <w:rFonts w:asciiTheme="minorHAnsi" w:hAnsiTheme="minorHAnsi" w:cstheme="minorHAnsi"/>
                <w:sz w:val="18"/>
                <w:szCs w:val="18"/>
              </w:rPr>
            </w:r>
            <w:r w:rsidRPr="007059B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059B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8B06A9D" w14:textId="14393C9F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2F6E86B" w14:textId="77777777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12" w:type="dxa"/>
          </w:tcPr>
          <w:p w14:paraId="653F337A" w14:textId="5523B946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 xml:space="preserve">.5.2.4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Building</w: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 xml:space="preserve"> coverage</w:t>
            </w:r>
          </w:p>
          <w:p w14:paraId="2528B549" w14:textId="77777777" w:rsidR="00701F6C" w:rsidRDefault="00701F6C" w:rsidP="00701F6C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Max 50% of net site area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. </w:t>
            </w:r>
          </w:p>
          <w:p w14:paraId="1322965B" w14:textId="1274C7FB" w:rsidR="00701F6C" w:rsidRDefault="00701F6C" w:rsidP="00701F6C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Retirement villages – calc over entire complex. </w:t>
            </w:r>
          </w:p>
          <w:p w14:paraId="48EDD8FB" w14:textId="0D0947D1" w:rsidR="00701F6C" w:rsidRPr="000E63DE" w:rsidRDefault="00701F6C" w:rsidP="00701F6C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NZ" w:eastAsia="en-NZ"/>
              </w:rPr>
            </w:pPr>
            <w:r w:rsidRPr="000E63DE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NZ" w:eastAsia="en-NZ"/>
              </w:rPr>
              <w:t>Excludes eaves, roof overhangs &amp; gutters up to 650mm total width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NZ" w:eastAsia="en-NZ"/>
              </w:rPr>
              <w:t xml:space="preserve"> from wall</w:t>
            </w:r>
            <w:r w:rsidRPr="000E63DE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NZ" w:eastAsia="en-NZ"/>
              </w:rPr>
              <w:t>.</w:t>
            </w:r>
          </w:p>
        </w:tc>
        <w:tc>
          <w:tcPr>
            <w:tcW w:w="2948" w:type="dxa"/>
          </w:tcPr>
          <w:p w14:paraId="67A9E8E0" w14:textId="77777777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01F6C" w:rsidRPr="00E97133" w14:paraId="4E983544" w14:textId="77777777" w:rsidTr="00701F6C">
        <w:tc>
          <w:tcPr>
            <w:tcW w:w="562" w:type="dxa"/>
          </w:tcPr>
          <w:p w14:paraId="3EC9ED55" w14:textId="0322DC09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059B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9B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059B2">
              <w:rPr>
                <w:rFonts w:asciiTheme="minorHAnsi" w:hAnsiTheme="minorHAnsi" w:cstheme="minorHAnsi"/>
                <w:sz w:val="18"/>
                <w:szCs w:val="18"/>
              </w:rPr>
            </w:r>
            <w:r w:rsidRPr="007059B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059B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733B527B" w14:textId="4A9B3195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5D81E70" w14:textId="77777777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12" w:type="dxa"/>
          </w:tcPr>
          <w:p w14:paraId="0F147BF1" w14:textId="5A4F9FAA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14A.5.2.5</w: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 xml:space="preserve"> Outdoor living space:</w:t>
            </w:r>
          </w:p>
          <w:p w14:paraId="1FE38A72" w14:textId="77777777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Residential units at ground floor level:</w:t>
            </w:r>
          </w:p>
          <w:p w14:paraId="7742EC3C" w14:textId="77777777" w:rsidR="00701F6C" w:rsidRPr="00E97133" w:rsidRDefault="00701F6C" w:rsidP="00701F6C">
            <w:pPr>
              <w:pStyle w:val="Title"/>
              <w:numPr>
                <w:ilvl w:val="0"/>
                <w:numId w:val="2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2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0m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total area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– ground floor, balcony, patio or roof terrace. </w:t>
            </w:r>
          </w:p>
          <w:p w14:paraId="5D6DBC2C" w14:textId="77777777" w:rsidR="00701F6C" w:rsidRPr="00E97133" w:rsidRDefault="00701F6C" w:rsidP="00701F6C">
            <w:pPr>
              <w:pStyle w:val="Title"/>
              <w:numPr>
                <w:ilvl w:val="0"/>
                <w:numId w:val="2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3m min dimension for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any 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ground level space</w:t>
            </w:r>
          </w:p>
          <w:p w14:paraId="55D8BFEC" w14:textId="77777777" w:rsidR="00701F6C" w:rsidRDefault="00701F6C" w:rsidP="00701F6C">
            <w:pPr>
              <w:pStyle w:val="Title"/>
              <w:numPr>
                <w:ilvl w:val="0"/>
                <w:numId w:val="2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8m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 xml:space="preserve">2 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and 1.8m min dimension for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any 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balcon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y/patio/roof terrace</w:t>
            </w:r>
          </w:p>
          <w:p w14:paraId="774795B3" w14:textId="77777777" w:rsidR="00701F6C" w:rsidRPr="00E97133" w:rsidRDefault="00701F6C" w:rsidP="00701F6C">
            <w:pPr>
              <w:pStyle w:val="Title"/>
              <w:numPr>
                <w:ilvl w:val="0"/>
                <w:numId w:val="2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Accessible from unit</w:t>
            </w:r>
          </w:p>
          <w:p w14:paraId="0CF78E7A" w14:textId="7EA6A826" w:rsidR="00701F6C" w:rsidRPr="000E63DE" w:rsidRDefault="00701F6C" w:rsidP="00701F6C">
            <w:pPr>
              <w:pStyle w:val="Title"/>
              <w:numPr>
                <w:ilvl w:val="0"/>
                <w:numId w:val="2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Can be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grouped in 1 communally accessible location.</w:t>
            </w:r>
          </w:p>
          <w:p w14:paraId="10219B2A" w14:textId="77777777" w:rsidR="00701F6C" w:rsidRPr="00E97133" w:rsidRDefault="00701F6C" w:rsidP="00701F6C">
            <w:pPr>
              <w:pStyle w:val="Title"/>
              <w:spacing w:before="40" w:after="40"/>
              <w:ind w:left="33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Residential units above ground floor level:</w:t>
            </w:r>
          </w:p>
          <w:p w14:paraId="036AA9C1" w14:textId="77777777" w:rsidR="00701F6C" w:rsidRDefault="00701F6C" w:rsidP="00701F6C">
            <w:pPr>
              <w:pStyle w:val="Title"/>
              <w:numPr>
                <w:ilvl w:val="0"/>
                <w:numId w:val="3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E4F07">
              <w:rPr>
                <w:rFonts w:asciiTheme="minorHAnsi" w:hAnsiTheme="minorHAnsi" w:cstheme="minorHAnsi"/>
                <w:b w:val="0"/>
                <w:sz w:val="18"/>
                <w:szCs w:val="18"/>
              </w:rPr>
              <w:t>8m</w:t>
            </w:r>
            <w:r w:rsidRPr="004E4F07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 w:rsidRPr="004E4F0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balcony, patio or roof terrace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with </w:t>
            </w:r>
            <w:r w:rsidRPr="004E4F07">
              <w:rPr>
                <w:rFonts w:asciiTheme="minorHAnsi" w:hAnsiTheme="minorHAnsi" w:cstheme="minorHAnsi"/>
                <w:b w:val="0"/>
                <w:sz w:val="18"/>
                <w:szCs w:val="18"/>
              </w:rPr>
              <w:t>1.8m min dimension</w:t>
            </w:r>
          </w:p>
          <w:p w14:paraId="744A609D" w14:textId="2DFF1586" w:rsidR="00701F6C" w:rsidRPr="004E4F07" w:rsidRDefault="00701F6C" w:rsidP="00701F6C">
            <w:pPr>
              <w:pStyle w:val="Title"/>
              <w:numPr>
                <w:ilvl w:val="0"/>
                <w:numId w:val="3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Accessible from unit.</w:t>
            </w:r>
          </w:p>
          <w:p w14:paraId="64695660" w14:textId="77777777" w:rsidR="00701F6C" w:rsidRDefault="00701F6C" w:rsidP="00701F6C">
            <w:pPr>
              <w:pStyle w:val="Title"/>
              <w:numPr>
                <w:ilvl w:val="0"/>
                <w:numId w:val="3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Can be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grouped in 1 communally accessible location which can be at ground level.</w:t>
            </w:r>
          </w:p>
          <w:p w14:paraId="38239E15" w14:textId="3094462D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Studio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units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with min 35m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internal FA, or single bed units with min 45m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entirely at upper level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:</w:t>
            </w:r>
          </w:p>
          <w:p w14:paraId="0E7D179C" w14:textId="77777777" w:rsidR="00701F6C" w:rsidRDefault="00701F6C" w:rsidP="00701F6C">
            <w:pPr>
              <w:pStyle w:val="Title"/>
              <w:numPr>
                <w:ilvl w:val="0"/>
                <w:numId w:val="3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6m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private balcony with 1.5m min dimension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.</w:t>
            </w:r>
          </w:p>
          <w:p w14:paraId="2D6EBA39" w14:textId="77777777" w:rsidR="00701F6C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Doesn’t apply to units in a retirement village.</w:t>
            </w:r>
          </w:p>
          <w:p w14:paraId="0EA53DF4" w14:textId="0F88CDEF" w:rsidR="00701F6C" w:rsidRPr="000E63DE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Salvation Army Addington Overlay – communal ODLS required, 10m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per unit.</w:t>
            </w:r>
          </w:p>
        </w:tc>
        <w:tc>
          <w:tcPr>
            <w:tcW w:w="2948" w:type="dxa"/>
          </w:tcPr>
          <w:p w14:paraId="744678E1" w14:textId="77777777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01F6C" w:rsidRPr="00E97133" w14:paraId="06B76A8F" w14:textId="77777777" w:rsidTr="00701F6C">
        <w:tc>
          <w:tcPr>
            <w:tcW w:w="562" w:type="dxa"/>
          </w:tcPr>
          <w:p w14:paraId="71AC697D" w14:textId="6B5FFBF7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059B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9B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059B2">
              <w:rPr>
                <w:rFonts w:asciiTheme="minorHAnsi" w:hAnsiTheme="minorHAnsi" w:cstheme="minorHAnsi"/>
                <w:sz w:val="18"/>
                <w:szCs w:val="18"/>
              </w:rPr>
            </w:r>
            <w:r w:rsidRPr="007059B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059B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734C7266" w14:textId="63A2A54D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6CDB415" w14:textId="77777777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12" w:type="dxa"/>
          </w:tcPr>
          <w:p w14:paraId="2C825B61" w14:textId="7A03B5B3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>.5.2.6 Height in relation to boundary</w:t>
            </w:r>
          </w:p>
          <w:p w14:paraId="1FF8523C" w14:textId="72A4ECC6" w:rsidR="00701F6C" w:rsidRDefault="0099119E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pPr>
            <w:r w:rsidRPr="007A0648">
              <w:rPr>
                <w:rFonts w:asciiTheme="minorHAnsi" w:hAnsiTheme="minorHAnsi" w:cstheme="minorHAnsi"/>
                <w:b w:val="0"/>
                <w:sz w:val="18"/>
                <w:szCs w:val="18"/>
              </w:rPr>
              <w:t>R</w:t>
            </w:r>
            <w:r w:rsidR="00701F6C" w:rsidRPr="007A0648">
              <w:rPr>
                <w:rFonts w:asciiTheme="minorHAnsi" w:hAnsiTheme="minorHAnsi" w:cstheme="minorHAnsi"/>
                <w:b w:val="0"/>
                <w:sz w:val="18"/>
                <w:szCs w:val="18"/>
              </w:rPr>
              <w:t>ecession plane</w:t>
            </w:r>
            <w:r w:rsidRPr="007A0648">
              <w:rPr>
                <w:rFonts w:asciiTheme="minorHAnsi" w:hAnsiTheme="minorHAnsi" w:cstheme="minorHAnsi"/>
                <w:b w:val="0"/>
                <w:sz w:val="18"/>
                <w:szCs w:val="18"/>
              </w:rPr>
              <w:t>s</w:t>
            </w:r>
            <w:r w:rsidR="00701F6C" w:rsidRPr="0099119E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 xml:space="preserve"> </w:t>
            </w:r>
            <w:r w:rsidR="00701F6C"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along all boundaries</w:t>
            </w:r>
            <w:r w:rsidR="00701F6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="00701F6C"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except</w:t>
            </w:r>
            <w:r w:rsidR="00701F6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="00701F6C"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road boundaries</w:t>
            </w:r>
            <w:r w:rsidR="00701F6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, existing or proposed </w:t>
            </w:r>
            <w:r w:rsidR="00701F6C"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internal boundaries within a site</w:t>
            </w:r>
            <w:r w:rsidR="00701F6C">
              <w:rPr>
                <w:rFonts w:asciiTheme="minorHAnsi" w:hAnsiTheme="minorHAnsi" w:cstheme="minorHAnsi"/>
                <w:b w:val="0"/>
                <w:sz w:val="18"/>
                <w:szCs w:val="18"/>
              </w:rPr>
              <w:t>, and where there is a c</w:t>
            </w:r>
            <w:r w:rsidR="00701F6C"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ommon wall</w:t>
            </w:r>
          </w:p>
          <w:p w14:paraId="4A25170B" w14:textId="2E0BF11B" w:rsidR="00701F6C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Where boundary is on legal right of way, entrance strip, access site or pedestrian access way,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HIRB is 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measured from the farthest boundary of that access.</w:t>
            </w:r>
          </w:p>
          <w:p w14:paraId="638133FA" w14:textId="29D0A6B8" w:rsidR="005945E2" w:rsidRPr="00414777" w:rsidRDefault="005945E2" w:rsidP="005945E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14777">
              <w:rPr>
                <w:rFonts w:asciiTheme="minorHAnsi" w:hAnsiTheme="minorHAnsi" w:cstheme="minorHAnsi"/>
                <w:b w:val="0"/>
                <w:sz w:val="18"/>
                <w:szCs w:val="18"/>
              </w:rPr>
              <w:t>Local Centre Intensification Precinct – for 3 or more res units up to 12m high, no recession plane:</w:t>
            </w:r>
          </w:p>
          <w:p w14:paraId="7562A98E" w14:textId="69E2A773" w:rsidR="005945E2" w:rsidRPr="00414777" w:rsidRDefault="005945E2" w:rsidP="005945E2">
            <w:pPr>
              <w:pStyle w:val="Title"/>
              <w:numPr>
                <w:ilvl w:val="0"/>
                <w:numId w:val="3"/>
              </w:numPr>
              <w:spacing w:before="40" w:after="40"/>
              <w:ind w:left="205" w:hanging="20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1477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along first 20m of side boundary measured from road (doesn’t apply if boundary is with site in </w:t>
            </w:r>
            <w:r w:rsidR="007A0648" w:rsidRPr="0041477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residential zone </w:t>
            </w:r>
            <w:r w:rsidR="00F25FD7" w:rsidRPr="0041477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outside LCIP </w:t>
            </w:r>
            <w:r w:rsidRPr="0041477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other </w:t>
            </w:r>
            <w:r w:rsidR="007A0648" w:rsidRPr="00414777">
              <w:rPr>
                <w:rFonts w:asciiTheme="minorHAnsi" w:hAnsiTheme="minorHAnsi" w:cstheme="minorHAnsi"/>
                <w:b w:val="0"/>
                <w:sz w:val="18"/>
                <w:szCs w:val="18"/>
              </w:rPr>
              <w:t>than HRZ</w:t>
            </w:r>
            <w:r w:rsidR="00F25FD7" w:rsidRPr="00414777">
              <w:rPr>
                <w:rFonts w:asciiTheme="minorHAnsi" w:hAnsiTheme="minorHAnsi" w:cstheme="minorHAnsi"/>
                <w:b w:val="0"/>
                <w:sz w:val="18"/>
                <w:szCs w:val="18"/>
              </w:rPr>
              <w:t>;</w:t>
            </w:r>
            <w:r w:rsidRPr="0041477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or OS zone</w:t>
            </w:r>
            <w:r w:rsidR="00F25FD7" w:rsidRPr="0041477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Pr="0041477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), or </w:t>
            </w:r>
          </w:p>
          <w:p w14:paraId="03E46CE0" w14:textId="6E1488C8" w:rsidR="005945E2" w:rsidRPr="00D307CB" w:rsidRDefault="005945E2" w:rsidP="005945E2">
            <w:pPr>
              <w:pStyle w:val="Title"/>
              <w:numPr>
                <w:ilvl w:val="0"/>
                <w:numId w:val="3"/>
              </w:numPr>
              <w:spacing w:before="40" w:after="40"/>
              <w:ind w:left="205" w:hanging="205"/>
              <w:jc w:val="left"/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pPr>
            <w:r w:rsidRPr="00414777">
              <w:rPr>
                <w:rFonts w:asciiTheme="minorHAnsi" w:hAnsiTheme="minorHAnsi" w:cstheme="minorHAnsi"/>
                <w:b w:val="0"/>
                <w:sz w:val="18"/>
                <w:szCs w:val="18"/>
              </w:rPr>
              <w:t>within 60% of site depth measured from road, whichever is lesser.</w:t>
            </w:r>
          </w:p>
          <w:p w14:paraId="796C0D4F" w14:textId="0AE1950B" w:rsidR="00701F6C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Retirement village – applies to perimeter boundary only. </w:t>
            </w:r>
          </w:p>
          <w:p w14:paraId="0BF1EFD2" w14:textId="7B694D57" w:rsidR="00701F6C" w:rsidRPr="006F1CC4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</w:pPr>
            <w:r w:rsidRPr="006F1CC4"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t>Note – there are no permitted intrusions, and FMA exemption in 5.4.1.3 doesn’t apply.</w:t>
            </w:r>
          </w:p>
        </w:tc>
        <w:tc>
          <w:tcPr>
            <w:tcW w:w="2948" w:type="dxa"/>
          </w:tcPr>
          <w:p w14:paraId="5B89F134" w14:textId="77777777" w:rsidR="00701F6C" w:rsidRPr="004A087E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4A087E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Boundary rule if not adjoining public land</w:t>
            </w:r>
          </w:p>
          <w:p w14:paraId="55F72E48" w14:textId="77777777" w:rsidR="00701F6C" w:rsidRPr="004A087E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A087E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087E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A087E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A087E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A087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A087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A087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A087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A087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A087E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01F6C" w:rsidRPr="00E97133" w14:paraId="5112946B" w14:textId="77777777" w:rsidTr="00701F6C">
        <w:tc>
          <w:tcPr>
            <w:tcW w:w="562" w:type="dxa"/>
          </w:tcPr>
          <w:p w14:paraId="0BDADE2A" w14:textId="524DF07F" w:rsidR="00701F6C" w:rsidRPr="00E97133" w:rsidRDefault="005C4C28" w:rsidP="00110762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6CE8CA0" w14:textId="7E57DD89" w:rsidR="00701F6C" w:rsidRPr="00E97133" w:rsidRDefault="00701F6C" w:rsidP="00110762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CF58076" w14:textId="77777777" w:rsidR="00701F6C" w:rsidRPr="00E97133" w:rsidRDefault="00701F6C" w:rsidP="00110762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12" w:type="dxa"/>
          </w:tcPr>
          <w:p w14:paraId="314DFA65" w14:textId="050BB643" w:rsidR="00701F6C" w:rsidRPr="00E97133" w:rsidRDefault="00701F6C" w:rsidP="0011076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14A.5.2.7</w: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52366">
              <w:rPr>
                <w:rFonts w:asciiTheme="minorHAnsi" w:hAnsiTheme="minorHAnsi" w:cstheme="minorHAnsi"/>
                <w:sz w:val="18"/>
                <w:szCs w:val="18"/>
              </w:rPr>
              <w:t>Minimum building s</w: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>etbacks</w:t>
            </w:r>
          </w:p>
          <w:p w14:paraId="60AFF5CA" w14:textId="77777777" w:rsidR="00701F6C" w:rsidRDefault="00701F6C" w:rsidP="0011076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Front boundary – 1.5m</w:t>
            </w:r>
          </w:p>
          <w:p w14:paraId="6511D49B" w14:textId="77777777" w:rsidR="00701F6C" w:rsidRDefault="00701F6C" w:rsidP="0011076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Side boundary – 1m</w:t>
            </w:r>
          </w:p>
          <w:p w14:paraId="178BD221" w14:textId="4A0560EA" w:rsidR="00701F6C" w:rsidRDefault="00701F6C" w:rsidP="0011076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Rear boundary – 1m</w:t>
            </w:r>
          </w:p>
          <w:p w14:paraId="2BFA72B2" w14:textId="420EDAED" w:rsidR="00701F6C" w:rsidRDefault="00701F6C" w:rsidP="0011076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Rail corridor – 4m</w:t>
            </w:r>
          </w:p>
          <w:p w14:paraId="50BCBDBC" w14:textId="0E41F9C0" w:rsidR="00701F6C" w:rsidRPr="00E97133" w:rsidRDefault="00701F6C" w:rsidP="0011076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Exemptions from front/side/rear setbacks:</w:t>
            </w:r>
            <w:r w:rsidR="0072081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6A0902DE" w14:textId="709CD561" w:rsidR="00701F6C" w:rsidRDefault="00701F6C" w:rsidP="00C1496A">
            <w:pPr>
              <w:pStyle w:val="Title"/>
              <w:numPr>
                <w:ilvl w:val="0"/>
                <w:numId w:val="7"/>
              </w:numPr>
              <w:spacing w:before="40" w:after="40"/>
              <w:ind w:left="360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B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uildings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on adjacent sites with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 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common wall </w:t>
            </w:r>
          </w:p>
          <w:p w14:paraId="31D21BA6" w14:textId="39EE1056" w:rsidR="00701F6C" w:rsidRDefault="00701F6C" w:rsidP="00C1496A">
            <w:pPr>
              <w:pStyle w:val="Title"/>
              <w:numPr>
                <w:ilvl w:val="0"/>
                <w:numId w:val="7"/>
              </w:numPr>
              <w:spacing w:before="40" w:after="40"/>
              <w:ind w:left="360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Side/rear</w:t>
            </w:r>
            <w:r w:rsidR="00D6466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boundary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: Accessory buildings, </w:t>
            </w:r>
            <w:r w:rsidR="00D6466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and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garages with internal access to res unit, with height less than 3m and total length up to 10.1m.</w:t>
            </w:r>
          </w:p>
          <w:p w14:paraId="7C1E9FEE" w14:textId="7B2D9240" w:rsidR="00701F6C" w:rsidRDefault="00701F6C" w:rsidP="00C1496A">
            <w:pPr>
              <w:pStyle w:val="Title"/>
              <w:numPr>
                <w:ilvl w:val="0"/>
                <w:numId w:val="7"/>
              </w:numPr>
              <w:spacing w:before="40" w:after="40"/>
              <w:ind w:left="360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Front</w:t>
            </w:r>
            <w:r w:rsidR="00D6466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boundary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: Eaves, roof overhangs &amp; gutters can intrude up to 650mm (combined); porch with max width 1.2m can intrude up to 800mm.</w:t>
            </w:r>
          </w:p>
          <w:p w14:paraId="76BFF867" w14:textId="71C3C9DF" w:rsidR="00701F6C" w:rsidRPr="00E97133" w:rsidRDefault="00701F6C" w:rsidP="0011076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Retirement villages – apply to perimeter boundary only.</w:t>
            </w:r>
          </w:p>
        </w:tc>
        <w:tc>
          <w:tcPr>
            <w:tcW w:w="2948" w:type="dxa"/>
          </w:tcPr>
          <w:p w14:paraId="3DA98DFD" w14:textId="77777777" w:rsidR="00701F6C" w:rsidRPr="004A087E" w:rsidRDefault="00701F6C" w:rsidP="0011076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4A087E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Boundary rule for internal boundaries not adjoining public land</w:t>
            </w:r>
          </w:p>
          <w:p w14:paraId="2CB90571" w14:textId="77777777" w:rsidR="00701F6C" w:rsidRPr="004A087E" w:rsidRDefault="00701F6C" w:rsidP="0011076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A087E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087E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A087E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A087E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A087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A087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A087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A087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A087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A087E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01F6C" w:rsidRPr="00E97133" w14:paraId="28202268" w14:textId="77777777" w:rsidTr="00701F6C">
        <w:tc>
          <w:tcPr>
            <w:tcW w:w="562" w:type="dxa"/>
          </w:tcPr>
          <w:p w14:paraId="481D2201" w14:textId="098A7099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7621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21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76212">
              <w:rPr>
                <w:rFonts w:asciiTheme="minorHAnsi" w:hAnsiTheme="minorHAnsi" w:cstheme="minorHAnsi"/>
                <w:sz w:val="18"/>
                <w:szCs w:val="18"/>
              </w:rPr>
            </w:r>
            <w:r w:rsidRPr="008762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762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0D4BAF1" w14:textId="66899B71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C1482E0" w14:textId="77777777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12" w:type="dxa"/>
          </w:tcPr>
          <w:p w14:paraId="09ED7E41" w14:textId="7DDDC291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14A.5.2.8</w: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 xml:space="preserve"> Outlook space</w:t>
            </w:r>
            <w:r w:rsidR="00D6466B">
              <w:rPr>
                <w:rFonts w:asciiTheme="minorHAnsi" w:hAnsiTheme="minorHAnsi" w:cstheme="minorHAnsi"/>
                <w:sz w:val="18"/>
                <w:szCs w:val="18"/>
              </w:rPr>
              <w:t xml:space="preserve"> per unit</w:t>
            </w:r>
          </w:p>
          <w:p w14:paraId="771143E6" w14:textId="7309626E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Minimum outlook space from </w:t>
            </w:r>
            <w:r w:rsidRPr="004E4F07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habitable room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Pr="00D6466B"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t>windows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(diagram below)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:</w:t>
            </w:r>
          </w:p>
          <w:p w14:paraId="6C66C8E9" w14:textId="77777777" w:rsidR="00701F6C" w:rsidRPr="00E97133" w:rsidRDefault="00701F6C" w:rsidP="00701F6C">
            <w:pPr>
              <w:pStyle w:val="Title"/>
              <w:numPr>
                <w:ilvl w:val="0"/>
                <w:numId w:val="4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Principal living room – 4m x 4m</w:t>
            </w:r>
          </w:p>
          <w:p w14:paraId="3E368450" w14:textId="77777777" w:rsidR="00701F6C" w:rsidRPr="00E97133" w:rsidRDefault="00701F6C" w:rsidP="00701F6C">
            <w:pPr>
              <w:pStyle w:val="Title"/>
              <w:numPr>
                <w:ilvl w:val="0"/>
                <w:numId w:val="4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All other habitable rooms – 1m x 1m</w:t>
            </w:r>
          </w:p>
          <w:p w14:paraId="4C7EB9AB" w14:textId="148A0077" w:rsidR="00701F6C" w:rsidRPr="00E97133" w:rsidRDefault="00701F6C" w:rsidP="00701F6C">
            <w:pPr>
              <w:pStyle w:val="Title"/>
              <w:numPr>
                <w:ilvl w:val="0"/>
                <w:numId w:val="4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Width measured from centre point of largest window on that building face</w:t>
            </w:r>
          </w:p>
          <w:p w14:paraId="34A5AF56" w14:textId="77777777" w:rsidR="00701F6C" w:rsidRPr="004E4F07" w:rsidRDefault="00701F6C" w:rsidP="00701F6C">
            <w:pPr>
              <w:pStyle w:val="Title"/>
              <w:numPr>
                <w:ilvl w:val="0"/>
                <w:numId w:val="4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E4F0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May be over driveway or footpath within the site, or over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 </w:t>
            </w:r>
            <w:r w:rsidRPr="004E4F07">
              <w:rPr>
                <w:rFonts w:asciiTheme="minorHAnsi" w:hAnsiTheme="minorHAnsi" w:cstheme="minorHAnsi"/>
                <w:b w:val="0"/>
                <w:sz w:val="18"/>
                <w:szCs w:val="18"/>
              </w:rPr>
              <w:t>public street or public open space</w:t>
            </w:r>
          </w:p>
          <w:p w14:paraId="53444464" w14:textId="77777777" w:rsidR="00701F6C" w:rsidRPr="00E97133" w:rsidRDefault="00701F6C" w:rsidP="00701F6C">
            <w:pPr>
              <w:pStyle w:val="Title"/>
              <w:numPr>
                <w:ilvl w:val="0"/>
                <w:numId w:val="4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May be over or under a balcony</w:t>
            </w:r>
          </w:p>
          <w:p w14:paraId="7D009B79" w14:textId="77777777" w:rsidR="00701F6C" w:rsidRDefault="00701F6C" w:rsidP="00701F6C">
            <w:pPr>
              <w:pStyle w:val="Title"/>
              <w:numPr>
                <w:ilvl w:val="0"/>
                <w:numId w:val="4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May overlap with spaces from other rooms in same building</w:t>
            </w:r>
          </w:p>
          <w:p w14:paraId="03C2EBA6" w14:textId="27A2F5DD" w:rsidR="00D6466B" w:rsidRPr="00E97133" w:rsidRDefault="00D6466B" w:rsidP="00701F6C">
            <w:pPr>
              <w:pStyle w:val="Title"/>
              <w:numPr>
                <w:ilvl w:val="0"/>
                <w:numId w:val="4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May overlap on same wall plane in multi-storey building</w:t>
            </w:r>
          </w:p>
          <w:p w14:paraId="1B59676C" w14:textId="77777777" w:rsidR="00701F6C" w:rsidRPr="00E97133" w:rsidRDefault="00701F6C" w:rsidP="00701F6C">
            <w:pPr>
              <w:pStyle w:val="Title"/>
              <w:numPr>
                <w:ilvl w:val="0"/>
                <w:numId w:val="4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Can’t extend over OS or OLS required by another unit</w:t>
            </w:r>
          </w:p>
          <w:p w14:paraId="4FD13FD9" w14:textId="77777777" w:rsidR="00701F6C" w:rsidRDefault="00701F6C" w:rsidP="00701F6C">
            <w:pPr>
              <w:pStyle w:val="Title"/>
              <w:numPr>
                <w:ilvl w:val="0"/>
                <w:numId w:val="4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Must be c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lear and unobstructed by buildings.</w:t>
            </w:r>
          </w:p>
          <w:p w14:paraId="3519C91C" w14:textId="7625EF24" w:rsidR="00701F6C" w:rsidRDefault="00701F6C" w:rsidP="00701F6C">
            <w:pPr>
              <w:pStyle w:val="Title"/>
              <w:numPr>
                <w:ilvl w:val="0"/>
                <w:numId w:val="4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Retirement villages – applies only to principal living areas of self-contained units or communal living areas, within 15m of perimeter.</w:t>
            </w:r>
          </w:p>
          <w:p w14:paraId="4FE15474" w14:textId="04A03E67" w:rsidR="00701F6C" w:rsidRPr="00E97133" w:rsidRDefault="00701F6C" w:rsidP="00701F6C">
            <w:pPr>
              <w:pStyle w:val="Title"/>
              <w:numPr>
                <w:ilvl w:val="0"/>
                <w:numId w:val="4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286AE5E" wp14:editId="4A84F7BD">
                  <wp:extent cx="2927350" cy="2304108"/>
                  <wp:effectExtent l="0" t="0" r="6350" b="1270"/>
                  <wp:docPr id="12595740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57405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021" cy="2313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dxa"/>
          </w:tcPr>
          <w:p w14:paraId="1271C527" w14:textId="77777777" w:rsidR="00701F6C" w:rsidRPr="004A087E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A087E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lastRenderedPageBreak/>
              <w:t>Boundary rule if not adjoining public land</w:t>
            </w:r>
            <w:r w:rsidRPr="004A087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31A528EF" w14:textId="77777777" w:rsidR="00701F6C" w:rsidRPr="004A087E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A087E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087E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A087E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A087E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A087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A087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A087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A087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A087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A087E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01F6C" w:rsidRPr="00E97133" w14:paraId="48D58728" w14:textId="77777777" w:rsidTr="00701F6C">
        <w:tc>
          <w:tcPr>
            <w:tcW w:w="562" w:type="dxa"/>
          </w:tcPr>
          <w:p w14:paraId="5D8D7A21" w14:textId="1F0E4CCA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7621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21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76212">
              <w:rPr>
                <w:rFonts w:asciiTheme="minorHAnsi" w:hAnsiTheme="minorHAnsi" w:cstheme="minorHAnsi"/>
                <w:sz w:val="18"/>
                <w:szCs w:val="18"/>
              </w:rPr>
            </w:r>
            <w:r w:rsidRPr="008762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7621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F0FE710" w14:textId="20AE660B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0203524" w14:textId="77777777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12" w:type="dxa"/>
          </w:tcPr>
          <w:p w14:paraId="4EA3883C" w14:textId="699FC126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1715C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31715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31715C">
              <w:rPr>
                <w:rFonts w:asciiTheme="minorHAnsi" w:hAnsiTheme="minorHAnsi" w:cstheme="minorHAnsi"/>
                <w:sz w:val="18"/>
                <w:szCs w:val="18"/>
              </w:rPr>
              <w:t>.2.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Fencing and screening</w:t>
            </w:r>
          </w:p>
          <w:p w14:paraId="72AE3DAF" w14:textId="436E38E2" w:rsidR="00701F6C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Road boundary – 50% of road boundary width (excl access) 1.8m max, remaining width 1.0m max. </w:t>
            </w:r>
          </w:p>
          <w:p w14:paraId="2635D3B0" w14:textId="47AFE4BC" w:rsidR="00701F6C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Side, rear, internal – 2.0m max</w:t>
            </w:r>
          </w:p>
          <w:p w14:paraId="4F374ECD" w14:textId="77777777" w:rsidR="00701F6C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Boundary with land zoned OSCP, OSWM, ARP – 1.0m max, or 2.0m if whole fence/screening structure is at least 50% visually transparent.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187196B5" w14:textId="27082CA1" w:rsidR="00701F6C" w:rsidRDefault="00D6466B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Must be</w:t>
            </w:r>
            <w:r w:rsidR="00701F6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on site boundary or within road boundary setback.</w:t>
            </w:r>
          </w:p>
          <w:p w14:paraId="76E4AC82" w14:textId="58AF5C51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Retirement villages – Fencing along public road boundary – max 1.8m height, at least 50% visually transparent.</w:t>
            </w:r>
          </w:p>
        </w:tc>
        <w:tc>
          <w:tcPr>
            <w:tcW w:w="2948" w:type="dxa"/>
          </w:tcPr>
          <w:p w14:paraId="3DBAF854" w14:textId="77777777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01F6C" w:rsidRPr="00E97133" w14:paraId="780FD9ED" w14:textId="77777777" w:rsidTr="00701F6C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02031EA8" w14:textId="1BDF0843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443D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3D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443D2">
              <w:rPr>
                <w:rFonts w:asciiTheme="minorHAnsi" w:hAnsiTheme="minorHAnsi" w:cstheme="minorHAnsi"/>
                <w:sz w:val="18"/>
                <w:szCs w:val="18"/>
              </w:rPr>
            </w:r>
            <w:r w:rsidRPr="005443D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443D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259153C" w14:textId="17931E6E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E906E5E" w14:textId="77777777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12" w:type="dxa"/>
          </w:tcPr>
          <w:p w14:paraId="35E7089B" w14:textId="50A9ACC0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73FE0">
              <w:rPr>
                <w:rFonts w:asciiTheme="minorHAnsi" w:hAnsiTheme="minorHAnsi" w:cstheme="minorHAnsi"/>
                <w:sz w:val="18"/>
                <w:szCs w:val="18"/>
              </w:rPr>
              <w:t>14A.5.2.10 Windows to street</w:t>
            </w:r>
          </w:p>
          <w:p w14:paraId="1C360408" w14:textId="173DAA9D" w:rsidR="00701F6C" w:rsidRDefault="00701F6C" w:rsidP="00701F6C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Res units facing the street must have min 20% of the street-facing façade in glazing (windows or doors).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7B41F0E8" w14:textId="378AEA96" w:rsidR="00701F6C" w:rsidRDefault="00701F6C" w:rsidP="00701F6C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Gables are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not 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counted as part of the façade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, as per diagram</w:t>
            </w:r>
            <w:r w:rsidR="00E2577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internal ceiling height is from highest room.</w:t>
            </w:r>
          </w:p>
          <w:p w14:paraId="3D5B3300" w14:textId="76E5B83A" w:rsidR="00701F6C" w:rsidRPr="00E97133" w:rsidRDefault="00701F6C" w:rsidP="00701F6C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Only applies to units with street-facing façade within 12m of road boundary or road designation, with no other res units located in between.</w:t>
            </w:r>
          </w:p>
          <w:p w14:paraId="4417C6A3" w14:textId="77777777" w:rsidR="00701F6C" w:rsidRDefault="00701F6C" w:rsidP="00701F6C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4AEEB9C" wp14:editId="34EB8BA0">
                  <wp:extent cx="3683000" cy="1044594"/>
                  <wp:effectExtent l="0" t="0" r="0" b="3175"/>
                  <wp:docPr id="10207800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780083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5607" cy="1053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352238" w14:textId="77777777" w:rsidR="00701F6C" w:rsidRDefault="00701F6C" w:rsidP="00701F6C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Units with a hinged front door facing the street with direct access to unit (not garage) can include the door, up to 2m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max regardless of whether it’s glazed. </w:t>
            </w:r>
          </w:p>
          <w:p w14:paraId="2ABF0C32" w14:textId="04586CCB" w:rsidR="00701F6C" w:rsidRDefault="00701F6C" w:rsidP="00701F6C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Total glazing can be further reduced to 15% (incl door area) if the unit has a hinged front door</w:t>
            </w:r>
            <w:r w:rsidR="00E2577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directly to unit (not garage),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and a ground floor habitable room with transparent glazed window on street-facing faced of min 1m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and min sill height of 1.2m (from internal floor level). </w:t>
            </w:r>
          </w:p>
          <w:p w14:paraId="2BC3E2E1" w14:textId="06DF55D4" w:rsidR="00701F6C" w:rsidRPr="009909BE" w:rsidRDefault="00701F6C" w:rsidP="00701F6C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Retirement villages – Percentage measured across total length of all street-facing facades.</w:t>
            </w:r>
          </w:p>
        </w:tc>
        <w:tc>
          <w:tcPr>
            <w:tcW w:w="2948" w:type="dxa"/>
          </w:tcPr>
          <w:p w14:paraId="14E3891D" w14:textId="77777777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01F6C" w:rsidRPr="00E97133" w14:paraId="06DDFE9D" w14:textId="77777777" w:rsidTr="00701F6C">
        <w:tc>
          <w:tcPr>
            <w:tcW w:w="562" w:type="dxa"/>
          </w:tcPr>
          <w:p w14:paraId="5B78F25D" w14:textId="564CA032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443D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3D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443D2">
              <w:rPr>
                <w:rFonts w:asciiTheme="minorHAnsi" w:hAnsiTheme="minorHAnsi" w:cstheme="minorHAnsi"/>
                <w:sz w:val="18"/>
                <w:szCs w:val="18"/>
              </w:rPr>
            </w:r>
            <w:r w:rsidRPr="005443D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443D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663BD3F" w14:textId="4CBBCB74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1B5FF5D4" w14:textId="77777777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12" w:type="dxa"/>
          </w:tcPr>
          <w:p w14:paraId="4B66749F" w14:textId="66C3436A" w:rsidR="00701F6C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.2.1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Minimum unit size </w:t>
            </w:r>
          </w:p>
          <w:p w14:paraId="3494D0DA" w14:textId="7B8F74AA" w:rsidR="00701F6C" w:rsidRPr="004E4F07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N</w:t>
            </w:r>
            <w:r w:rsidRPr="007465D1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et floor area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(incl toilets, bathrooms, excl parking areas, garages, balconies):</w:t>
            </w:r>
          </w:p>
          <w:p w14:paraId="4C1D13E9" w14:textId="77777777" w:rsidR="00701F6C" w:rsidRDefault="00701F6C" w:rsidP="00701F6C">
            <w:pPr>
              <w:pStyle w:val="Title"/>
              <w:numPr>
                <w:ilvl w:val="0"/>
                <w:numId w:val="8"/>
              </w:numPr>
              <w:spacing w:before="40" w:after="40"/>
              <w:ind w:left="218" w:hanging="218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35m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for studios</w:t>
            </w:r>
          </w:p>
          <w:p w14:paraId="1291ADE2" w14:textId="77777777" w:rsidR="00701F6C" w:rsidRDefault="00701F6C" w:rsidP="00701F6C">
            <w:pPr>
              <w:pStyle w:val="Title"/>
              <w:numPr>
                <w:ilvl w:val="0"/>
                <w:numId w:val="8"/>
              </w:numPr>
              <w:spacing w:before="40" w:after="40"/>
              <w:ind w:left="218" w:hanging="218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45m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for one-bedrooms</w:t>
            </w:r>
          </w:p>
          <w:p w14:paraId="79C88194" w14:textId="77777777" w:rsidR="00701F6C" w:rsidRDefault="00701F6C" w:rsidP="00701F6C">
            <w:pPr>
              <w:pStyle w:val="Title"/>
              <w:numPr>
                <w:ilvl w:val="0"/>
                <w:numId w:val="8"/>
              </w:numPr>
              <w:spacing w:before="40" w:after="40"/>
              <w:ind w:left="218" w:hanging="218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60m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for two-bedrooms</w:t>
            </w:r>
          </w:p>
          <w:p w14:paraId="27FFE5C0" w14:textId="77777777" w:rsidR="00701F6C" w:rsidRDefault="00701F6C" w:rsidP="00701F6C">
            <w:pPr>
              <w:pStyle w:val="Title"/>
              <w:numPr>
                <w:ilvl w:val="0"/>
                <w:numId w:val="8"/>
              </w:numPr>
              <w:spacing w:before="40" w:after="40"/>
              <w:ind w:left="218" w:hanging="218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90m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for three or more bedrooms. </w:t>
            </w:r>
          </w:p>
          <w:p w14:paraId="1C1FF9BD" w14:textId="06B80EC3" w:rsidR="00701F6C" w:rsidRPr="007465D1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Excludes units in a retirement village.</w:t>
            </w:r>
          </w:p>
        </w:tc>
        <w:tc>
          <w:tcPr>
            <w:tcW w:w="2948" w:type="dxa"/>
          </w:tcPr>
          <w:p w14:paraId="11BC7B97" w14:textId="77777777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01F6C" w:rsidRPr="00E97133" w14:paraId="56E41BDC" w14:textId="77777777" w:rsidTr="00701F6C">
        <w:tc>
          <w:tcPr>
            <w:tcW w:w="562" w:type="dxa"/>
          </w:tcPr>
          <w:p w14:paraId="1B32D1D2" w14:textId="7DBE5EE7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72A0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A0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72A01">
              <w:rPr>
                <w:rFonts w:asciiTheme="minorHAnsi" w:hAnsiTheme="minorHAnsi" w:cstheme="minorHAnsi"/>
                <w:sz w:val="18"/>
                <w:szCs w:val="18"/>
              </w:rPr>
            </w:r>
            <w:r w:rsidRPr="00772A0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72A0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706D6B2A" w14:textId="49F6C6BB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0B50F0A" w14:textId="77777777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12" w:type="dxa"/>
          </w:tcPr>
          <w:p w14:paraId="2D0EB1F3" w14:textId="585EF672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5.2.12 Ground floor habitable room </w:t>
            </w:r>
          </w:p>
          <w:p w14:paraId="330D431A" w14:textId="2984ED39" w:rsidR="00701F6C" w:rsidRDefault="00701F6C" w:rsidP="00701F6C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lastRenderedPageBreak/>
              <w:t>Res units fronting road or public open space must have a habitable room at ground level with 3m min internal dimension. Doesn’t apply to upper-level units built over GF units.</w:t>
            </w:r>
          </w:p>
          <w:p w14:paraId="58F594C2" w14:textId="691C98B0" w:rsidR="00701F6C" w:rsidRDefault="00701F6C" w:rsidP="00701F6C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 xml:space="preserve">Minimum 50% of </w:t>
            </w:r>
            <w:r w:rsidR="00E25773"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 xml:space="preserve">any </w:t>
            </w:r>
            <w:r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>ground floor area of any res unit must be habitable rooms.</w:t>
            </w:r>
          </w:p>
          <w:p w14:paraId="0A676691" w14:textId="14B13057" w:rsidR="00701F6C" w:rsidRDefault="00701F6C" w:rsidP="00701F6C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>50% of ground floor must be habitable and/or indoor communal living space, where permitted building height is over 11m.</w:t>
            </w:r>
          </w:p>
          <w:p w14:paraId="1150FF96" w14:textId="14936C8F" w:rsidR="00701F6C" w:rsidRPr="00E97133" w:rsidRDefault="00701F6C" w:rsidP="00701F6C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>Does not apply to units in a retirement village.</w:t>
            </w:r>
          </w:p>
        </w:tc>
        <w:tc>
          <w:tcPr>
            <w:tcW w:w="2948" w:type="dxa"/>
          </w:tcPr>
          <w:p w14:paraId="6B69DA2F" w14:textId="77777777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01F6C" w:rsidRPr="00E97133" w14:paraId="5F86FFCA" w14:textId="77777777" w:rsidTr="00701F6C">
        <w:tc>
          <w:tcPr>
            <w:tcW w:w="562" w:type="dxa"/>
          </w:tcPr>
          <w:p w14:paraId="5A37A16E" w14:textId="0B4BC9E5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72A0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A0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72A01">
              <w:rPr>
                <w:rFonts w:asciiTheme="minorHAnsi" w:hAnsiTheme="minorHAnsi" w:cstheme="minorHAnsi"/>
                <w:sz w:val="18"/>
                <w:szCs w:val="18"/>
              </w:rPr>
            </w:r>
            <w:r w:rsidRPr="00772A0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72A0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33A9ABA" w14:textId="07A82F9F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A4E99CD" w14:textId="77777777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12" w:type="dxa"/>
          </w:tcPr>
          <w:p w14:paraId="746F2B34" w14:textId="75880D7F" w:rsidR="00701F6C" w:rsidRPr="004E4F07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Rule 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.2.1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 xml:space="preserve"> Service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storage and waste management spaces</w:t>
            </w:r>
          </w:p>
          <w:p w14:paraId="67D97302" w14:textId="77777777" w:rsidR="00701F6C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4+ unit developments, per unit:</w:t>
            </w:r>
          </w:p>
          <w:p w14:paraId="1C1DFD27" w14:textId="49E638C8" w:rsidR="00701F6C" w:rsidRPr="00C35537" w:rsidRDefault="00701F6C" w:rsidP="00E25773">
            <w:pPr>
              <w:pStyle w:val="Title"/>
              <w:numPr>
                <w:ilvl w:val="0"/>
                <w:numId w:val="5"/>
              </w:numPr>
              <w:spacing w:before="40" w:after="40"/>
              <w:ind w:left="205" w:hanging="20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C35537">
              <w:rPr>
                <w:rFonts w:asciiTheme="minorHAnsi" w:hAnsiTheme="minorHAnsi" w:cstheme="minorHAnsi"/>
                <w:b w:val="0"/>
                <w:sz w:val="18"/>
                <w:szCs w:val="18"/>
              </w:rPr>
              <w:t>2.25m</w:t>
            </w:r>
            <w:r w:rsidRPr="00C35537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 w:rsidRPr="00C3553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with 1.2m dimension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at ground level</w:t>
            </w:r>
            <w:r w:rsidRPr="00C3553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for waste/recycling bins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, i</w:t>
            </w:r>
            <w:r w:rsidRPr="00C35537">
              <w:rPr>
                <w:rFonts w:asciiTheme="minorHAnsi" w:hAnsiTheme="minorHAnsi" w:cstheme="minorHAnsi"/>
                <w:b w:val="0"/>
                <w:sz w:val="18"/>
                <w:szCs w:val="18"/>
              </w:rPr>
              <w:t>ndoor or outdoor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. If located between unit and road boundary or ped/vehicle access must be screened by 1.2m min solid or slatted fence.</w:t>
            </w:r>
          </w:p>
          <w:p w14:paraId="45858A73" w14:textId="77777777" w:rsidR="00701F6C" w:rsidRDefault="00701F6C" w:rsidP="00E25773">
            <w:pPr>
              <w:pStyle w:val="Title"/>
              <w:numPr>
                <w:ilvl w:val="0"/>
                <w:numId w:val="5"/>
              </w:numPr>
              <w:spacing w:before="40" w:after="40"/>
              <w:ind w:left="205" w:hanging="20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3m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with 1.5m dimension outdoor space for washing line, for ground floor units. </w:t>
            </w:r>
          </w:p>
          <w:p w14:paraId="7EFD75D8" w14:textId="788A0414" w:rsidR="00701F6C" w:rsidRPr="00C35537" w:rsidRDefault="00701F6C" w:rsidP="00E25773">
            <w:pPr>
              <w:pStyle w:val="Title"/>
              <w:numPr>
                <w:ilvl w:val="0"/>
                <w:numId w:val="5"/>
              </w:numPr>
              <w:spacing w:before="40" w:after="40"/>
              <w:ind w:left="205" w:hanging="20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Spaces can be individual or communal.</w:t>
            </w:r>
          </w:p>
          <w:p w14:paraId="2F1D29FB" w14:textId="18FE077C" w:rsidR="00701F6C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All units</w:t>
            </w:r>
            <w:r w:rsidRPr="004E4F0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- covered and secure storage areas with min dimension of 660mm with total volume of:</w:t>
            </w:r>
          </w:p>
          <w:p w14:paraId="7C2BBCC7" w14:textId="586F13B8" w:rsidR="00701F6C" w:rsidRPr="00932D1B" w:rsidRDefault="00701F6C" w:rsidP="00E25773">
            <w:pPr>
              <w:pStyle w:val="Title"/>
              <w:numPr>
                <w:ilvl w:val="0"/>
                <w:numId w:val="5"/>
              </w:numPr>
              <w:spacing w:before="40" w:after="40"/>
              <w:ind w:left="205" w:hanging="20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932D1B">
              <w:rPr>
                <w:rFonts w:asciiTheme="minorHAnsi" w:hAnsiTheme="minorHAnsi" w:cstheme="minorHAnsi"/>
                <w:b w:val="0"/>
                <w:sz w:val="18"/>
                <w:szCs w:val="18"/>
              </w:rPr>
              <w:t>6m</w:t>
            </w:r>
            <w:r w:rsidRPr="00932D1B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 w:rsidRPr="00932D1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for one-bedrooms; 8m</w:t>
            </w:r>
            <w:r w:rsidRPr="00932D1B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 w:rsidRPr="00932D1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for two-bedrooms;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Pr="00932D1B">
              <w:rPr>
                <w:rFonts w:asciiTheme="minorHAnsi" w:hAnsiTheme="minorHAnsi" w:cstheme="minorHAnsi"/>
                <w:b w:val="0"/>
                <w:sz w:val="18"/>
                <w:szCs w:val="18"/>
              </w:rPr>
              <w:t>10m</w:t>
            </w:r>
            <w:r w:rsidRPr="00932D1B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 w:rsidRPr="00932D1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for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3+</w:t>
            </w:r>
            <w:r w:rsidRPr="00932D1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bedrooms. </w:t>
            </w:r>
          </w:p>
          <w:p w14:paraId="34F62B89" w14:textId="77777777" w:rsidR="00701F6C" w:rsidRDefault="00701F6C" w:rsidP="00E25773">
            <w:pPr>
              <w:pStyle w:val="Title"/>
              <w:numPr>
                <w:ilvl w:val="0"/>
                <w:numId w:val="5"/>
              </w:numPr>
              <w:spacing w:before="40" w:after="40"/>
              <w:ind w:left="205" w:hanging="20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At least 50% to be internal to the unit</w:t>
            </w:r>
          </w:p>
          <w:p w14:paraId="62F0E961" w14:textId="77777777" w:rsidR="00701F6C" w:rsidRDefault="00701F6C" w:rsidP="00E25773">
            <w:pPr>
              <w:pStyle w:val="Title"/>
              <w:numPr>
                <w:ilvl w:val="0"/>
                <w:numId w:val="5"/>
              </w:numPr>
              <w:spacing w:before="40" w:after="40"/>
              <w:ind w:left="205" w:hanging="20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Additional to any storage in kitchen, bathroom, bedrooms.</w:t>
            </w:r>
          </w:p>
          <w:p w14:paraId="4F361A6F" w14:textId="4D59CF5F" w:rsidR="00701F6C" w:rsidRPr="006979B1" w:rsidRDefault="00701F6C" w:rsidP="00E25773">
            <w:pPr>
              <w:pStyle w:val="Title"/>
              <w:numPr>
                <w:ilvl w:val="0"/>
                <w:numId w:val="5"/>
              </w:numPr>
              <w:spacing w:before="40" w:after="40"/>
              <w:ind w:left="205" w:hanging="20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Additional to any car parking area in a garage (deemed to be 5.5m x 3.1m x 2.4m).</w:t>
            </w:r>
          </w:p>
        </w:tc>
        <w:tc>
          <w:tcPr>
            <w:tcW w:w="2948" w:type="dxa"/>
          </w:tcPr>
          <w:p w14:paraId="69A0F940" w14:textId="77777777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01F6C" w:rsidRPr="00E97133" w14:paraId="771BA430" w14:textId="77777777" w:rsidTr="00701F6C">
        <w:tc>
          <w:tcPr>
            <w:tcW w:w="562" w:type="dxa"/>
          </w:tcPr>
          <w:p w14:paraId="57466545" w14:textId="758D00F9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72A0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A0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72A01">
              <w:rPr>
                <w:rFonts w:asciiTheme="minorHAnsi" w:hAnsiTheme="minorHAnsi" w:cstheme="minorHAnsi"/>
                <w:sz w:val="18"/>
                <w:szCs w:val="18"/>
              </w:rPr>
            </w:r>
            <w:r w:rsidRPr="00772A0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72A0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A208F71" w14:textId="2338DB6B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E2BB2D4" w14:textId="77777777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12" w:type="dxa"/>
          </w:tcPr>
          <w:p w14:paraId="3D781B26" w14:textId="16B8FB0B" w:rsidR="00701F6C" w:rsidRPr="004E4F07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.2.1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E4F07">
              <w:rPr>
                <w:rFonts w:asciiTheme="minorHAnsi" w:hAnsiTheme="minorHAnsi" w:cstheme="minorHAnsi"/>
                <w:sz w:val="18"/>
                <w:szCs w:val="18"/>
              </w:rPr>
              <w:t>Water supply for fire fighting</w:t>
            </w:r>
          </w:p>
          <w:p w14:paraId="43B65A1F" w14:textId="28C8F7A8" w:rsidR="00701F6C" w:rsidRPr="00E97133" w:rsidRDefault="00701F6C" w:rsidP="00701F6C">
            <w:pPr>
              <w:autoSpaceDE w:val="0"/>
              <w:autoSpaceDN w:val="0"/>
              <w:adjustRightInd w:val="0"/>
              <w:spacing w:after="40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 w:rsidRPr="004E4F07">
              <w:rPr>
                <w:rFonts w:asciiTheme="minorHAnsi" w:hAnsiTheme="minorHAnsi" w:cstheme="minorHAnsi"/>
                <w:sz w:val="18"/>
                <w:szCs w:val="18"/>
              </w:rPr>
              <w:t>All residential units - via the reticulated system and in accordance with Code of Practice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or alternative water sources provisions.</w:t>
            </w:r>
          </w:p>
        </w:tc>
        <w:tc>
          <w:tcPr>
            <w:tcW w:w="2948" w:type="dxa"/>
          </w:tcPr>
          <w:p w14:paraId="45AC1E85" w14:textId="77777777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01F6C" w:rsidRPr="00E97133" w14:paraId="6D3623D0" w14:textId="77777777" w:rsidTr="00701F6C">
        <w:tc>
          <w:tcPr>
            <w:tcW w:w="562" w:type="dxa"/>
          </w:tcPr>
          <w:p w14:paraId="413888EC" w14:textId="3D6B45CC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72A0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A0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72A01">
              <w:rPr>
                <w:rFonts w:asciiTheme="minorHAnsi" w:hAnsiTheme="minorHAnsi" w:cstheme="minorHAnsi"/>
                <w:sz w:val="18"/>
                <w:szCs w:val="18"/>
              </w:rPr>
            </w:r>
            <w:r w:rsidRPr="00772A0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72A0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CA0EFAA" w14:textId="42A7FA42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5172266" w14:textId="77777777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12" w:type="dxa"/>
          </w:tcPr>
          <w:p w14:paraId="738F947E" w14:textId="11DEA4B2" w:rsidR="00701F6C" w:rsidRPr="004E4F07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15 Garaging and carport building location</w:t>
            </w:r>
          </w:p>
          <w:p w14:paraId="6640A620" w14:textId="364BCDD6" w:rsidR="00701F6C" w:rsidRPr="00E97133" w:rsidRDefault="00701F6C" w:rsidP="00701F6C">
            <w:pPr>
              <w:autoSpaceDE w:val="0"/>
              <w:autoSpaceDN w:val="0"/>
              <w:adjustRightInd w:val="0"/>
              <w:spacing w:after="40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Garage/carport/loading bay/carparking areas for units fronting road must be at least 1.2m further from road boundary than street-facing façade of the unit. </w:t>
            </w:r>
          </w:p>
        </w:tc>
        <w:tc>
          <w:tcPr>
            <w:tcW w:w="2948" w:type="dxa"/>
          </w:tcPr>
          <w:p w14:paraId="5931F94F" w14:textId="77777777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01F6C" w:rsidRPr="00E97133" w14:paraId="42E52B54" w14:textId="77777777" w:rsidTr="00701F6C">
        <w:tc>
          <w:tcPr>
            <w:tcW w:w="562" w:type="dxa"/>
          </w:tcPr>
          <w:p w14:paraId="0E0BB709" w14:textId="54E8A075" w:rsidR="00701F6C" w:rsidRPr="00E97133" w:rsidRDefault="00701F6C" w:rsidP="009663A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CCFFAC2" w14:textId="30E9A27F" w:rsidR="00701F6C" w:rsidRPr="00E97133" w:rsidRDefault="00701F6C" w:rsidP="009663A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1D3B0C1" w14:textId="77777777" w:rsidR="00701F6C" w:rsidRPr="00E97133" w:rsidRDefault="00701F6C" w:rsidP="009663A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12" w:type="dxa"/>
          </w:tcPr>
          <w:p w14:paraId="7130B281" w14:textId="2083472A" w:rsidR="00701F6C" w:rsidRPr="004E4F07" w:rsidRDefault="00701F6C" w:rsidP="009663A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.2.1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 Location of outdoor mechanical ventilation</w:t>
            </w:r>
          </w:p>
          <w:p w14:paraId="743CE942" w14:textId="14197254" w:rsidR="00701F6C" w:rsidRDefault="00701F6C" w:rsidP="009663A6">
            <w:pPr>
              <w:autoSpaceDE w:val="0"/>
              <w:autoSpaceDN w:val="0"/>
              <w:adjustRightInd w:val="0"/>
              <w:spacing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Outdoor heat pumps or similar mech ventilation units at ground level between street façade and road boundary must be screened by fencing. Max 50% transparent, and min height of 1.2m or height of unit whichever is higher. </w:t>
            </w:r>
          </w:p>
          <w:p w14:paraId="5FCD867B" w14:textId="77777777" w:rsidR="00701F6C" w:rsidRDefault="00701F6C" w:rsidP="009663A6">
            <w:pPr>
              <w:autoSpaceDE w:val="0"/>
              <w:autoSpaceDN w:val="0"/>
              <w:adjustRightInd w:val="0"/>
              <w:spacing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Exemptions:</w:t>
            </w:r>
          </w:p>
          <w:p w14:paraId="6AAD001C" w14:textId="77777777" w:rsidR="00701F6C" w:rsidRDefault="00701F6C" w:rsidP="009663A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40"/>
              <w:ind w:left="218" w:hanging="218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>Unit located within 1.5m of road boundary where fencing complies with 14A.5.2.9, or</w:t>
            </w:r>
          </w:p>
          <w:p w14:paraId="09EA33CD" w14:textId="77777777" w:rsidR="00701F6C" w:rsidRDefault="00701F6C" w:rsidP="009663A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40"/>
              <w:ind w:left="218" w:hanging="218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>Screening provided by bushes/shrubs at min 80% height of unit, or</w:t>
            </w:r>
          </w:p>
          <w:p w14:paraId="78D1FC16" w14:textId="1DD86BEB" w:rsidR="00701F6C" w:rsidRPr="00E97133" w:rsidRDefault="00701F6C" w:rsidP="009663A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40"/>
              <w:ind w:left="218" w:hanging="218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 xml:space="preserve">Units installed to service </w:t>
            </w:r>
            <w:r w:rsidR="00CA4A21"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 xml:space="preserve">res </w:t>
            </w:r>
            <w:r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 xml:space="preserve">units constructed prior to 2/12/2024 where street-facing façade at least 4.5m from road boundary. </w:t>
            </w:r>
          </w:p>
        </w:tc>
        <w:tc>
          <w:tcPr>
            <w:tcW w:w="2948" w:type="dxa"/>
          </w:tcPr>
          <w:p w14:paraId="2AC0D62C" w14:textId="77777777" w:rsidR="00701F6C" w:rsidRPr="00E97133" w:rsidRDefault="00701F6C" w:rsidP="009663A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01F6C" w:rsidRPr="00E97133" w14:paraId="7056E514" w14:textId="77777777" w:rsidTr="00701F6C">
        <w:tc>
          <w:tcPr>
            <w:tcW w:w="562" w:type="dxa"/>
          </w:tcPr>
          <w:p w14:paraId="3A316961" w14:textId="50CA03AA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9779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79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9779E">
              <w:rPr>
                <w:rFonts w:asciiTheme="minorHAnsi" w:hAnsiTheme="minorHAnsi" w:cstheme="minorHAnsi"/>
                <w:sz w:val="18"/>
                <w:szCs w:val="18"/>
              </w:rPr>
            </w:r>
            <w:r w:rsidRPr="00A9779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779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bookmarkStart w:id="3" w:name="Check11"/>
        <w:tc>
          <w:tcPr>
            <w:tcW w:w="567" w:type="dxa"/>
          </w:tcPr>
          <w:p w14:paraId="79E4E79C" w14:textId="72798006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"/>
          </w:p>
        </w:tc>
        <w:bookmarkStart w:id="4" w:name="Check13"/>
        <w:tc>
          <w:tcPr>
            <w:tcW w:w="567" w:type="dxa"/>
          </w:tcPr>
          <w:p w14:paraId="5D964A4D" w14:textId="77777777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812" w:type="dxa"/>
          </w:tcPr>
          <w:p w14:paraId="69AD44E9" w14:textId="2D67F5F1" w:rsidR="00701F6C" w:rsidRPr="004E4F07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.2.1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Building length</w:t>
            </w:r>
          </w:p>
          <w:p w14:paraId="37398FCA" w14:textId="77777777" w:rsidR="00701F6C" w:rsidRDefault="00701F6C" w:rsidP="00701F6C">
            <w:pPr>
              <w:autoSpaceDE w:val="0"/>
              <w:autoSpaceDN w:val="0"/>
              <w:adjustRightInd w:val="0"/>
              <w:spacing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New buildings – 30m max length of an elevation, measured from external face.</w:t>
            </w:r>
          </w:p>
          <w:p w14:paraId="1E856424" w14:textId="64705A9E" w:rsidR="00701F6C" w:rsidRDefault="00701F6C" w:rsidP="00701F6C">
            <w:pPr>
              <w:autoSpaceDE w:val="0"/>
              <w:autoSpaceDN w:val="0"/>
              <w:adjustRightInd w:val="0"/>
              <w:spacing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Retirement villages – only applies within 15m of external boundary or perimeter. </w:t>
            </w:r>
          </w:p>
          <w:p w14:paraId="364DF680" w14:textId="77777777" w:rsidR="00701F6C" w:rsidRPr="00E97133" w:rsidRDefault="00701F6C" w:rsidP="00701F6C">
            <w:pPr>
              <w:autoSpaceDE w:val="0"/>
              <w:autoSpaceDN w:val="0"/>
              <w:adjustRightInd w:val="0"/>
              <w:spacing w:after="40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09F33B0" wp14:editId="30FBBC22">
                  <wp:extent cx="2821219" cy="1924050"/>
                  <wp:effectExtent l="0" t="0" r="0" b="0"/>
                  <wp:docPr id="852090195" name="Picture 1" descr="A diagram of a hous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090195" name="Picture 1" descr="A diagram of a house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37" cy="1931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dxa"/>
          </w:tcPr>
          <w:p w14:paraId="67F6563A" w14:textId="77777777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01F6C" w:rsidRPr="00E97133" w14:paraId="272F40C9" w14:textId="77777777" w:rsidTr="00701F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B552" w14:textId="70FB7323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9779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79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9779E">
              <w:rPr>
                <w:rFonts w:asciiTheme="minorHAnsi" w:hAnsiTheme="minorHAnsi" w:cstheme="minorHAnsi"/>
                <w:sz w:val="18"/>
                <w:szCs w:val="18"/>
              </w:rPr>
            </w:r>
            <w:r w:rsidRPr="00A9779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779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6A08" w14:textId="14A48A2E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B962" w14:textId="77777777" w:rsidR="00701F6C" w:rsidRPr="00E97133" w:rsidRDefault="00701F6C" w:rsidP="00701F6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9D7A" w14:textId="75BF2A1D" w:rsidR="00701F6C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.2.1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Res units within the Industrial interface overlay</w:t>
            </w:r>
            <w:r w:rsidR="00CA4A2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652FFA1" w14:textId="77777777" w:rsidR="00701F6C" w:rsidRDefault="00701F6C" w:rsidP="00701F6C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For n</w:t>
            </w:r>
            <w:r w:rsidRPr="00C837C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ew res units and extensions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,</w:t>
            </w:r>
            <w:r w:rsidRPr="00C837C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with habitable room windows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at or above 8m in height above GL, where the windows have line of sight to the IG, IH or IP zones - the habitable room containing the window must have mech ventilation systems and air con units meeting specified requirements (refer rule for details). </w:t>
            </w:r>
          </w:p>
          <w:p w14:paraId="592580B4" w14:textId="77777777" w:rsidR="00701F6C" w:rsidRDefault="00701F6C" w:rsidP="00701F6C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No balconies above 8m in height with line of sight to an industrial zone. </w:t>
            </w:r>
          </w:p>
          <w:p w14:paraId="0EC76298" w14:textId="55E65C2A" w:rsidR="00701F6C" w:rsidRPr="00C837C4" w:rsidRDefault="00701F6C" w:rsidP="00701F6C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Line of sight = industrial zoned sites are visible (including partially obstructed) from “any position within the habitable space out the window or from any part of the balcony”.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1599" w14:textId="77777777" w:rsidR="00701F6C" w:rsidRPr="00E97133" w:rsidRDefault="00701F6C" w:rsidP="00701F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01F6C" w:rsidRPr="00E97133" w14:paraId="35B00634" w14:textId="77777777" w:rsidTr="00701F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49AB" w14:textId="70D87707" w:rsidR="00701F6C" w:rsidRPr="00E97133" w:rsidRDefault="00701F6C" w:rsidP="00113B6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4CF2" w14:textId="7E19BD83" w:rsidR="00701F6C" w:rsidRPr="00E97133" w:rsidRDefault="00701F6C" w:rsidP="00113B6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BF38" w14:textId="77777777" w:rsidR="00701F6C" w:rsidRPr="00E97133" w:rsidRDefault="00701F6C" w:rsidP="00113B6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C958" w14:textId="05FAF401" w:rsidR="00701F6C" w:rsidRDefault="00701F6C" w:rsidP="00113B6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Development within 50 dB Airport Noise Contour</w:t>
            </w:r>
          </w:p>
          <w:p w14:paraId="4FF99344" w14:textId="77777777" w:rsidR="00701F6C" w:rsidRPr="00430BB2" w:rsidRDefault="00701F6C" w:rsidP="00430BB2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430BB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Within the 50 dB ANC and 2023 Remodelled 50 dB Outer Envelope:</w:t>
            </w:r>
          </w:p>
          <w:p w14:paraId="5045AD4D" w14:textId="1DBED745" w:rsidR="00701F6C" w:rsidRPr="00430BB2" w:rsidRDefault="00701F6C" w:rsidP="00C1496A">
            <w:pPr>
              <w:pStyle w:val="Title"/>
              <w:numPr>
                <w:ilvl w:val="0"/>
                <w:numId w:val="9"/>
              </w:numPr>
              <w:spacing w:before="40" w:after="80"/>
              <w:ind w:left="219" w:hanging="219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430BB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Res units require heating and cooling devices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as per rule</w:t>
            </w:r>
            <w:r w:rsidRPr="00430BB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6E3110EA" w14:textId="45FC99F4" w:rsidR="00701F6C" w:rsidRPr="00430BB2" w:rsidRDefault="00701F6C" w:rsidP="00C1496A">
            <w:pPr>
              <w:pStyle w:val="Title"/>
              <w:numPr>
                <w:ilvl w:val="0"/>
                <w:numId w:val="9"/>
              </w:numPr>
              <w:spacing w:before="40" w:after="80"/>
              <w:ind w:left="219" w:hanging="219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430BB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If opening windows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, </w:t>
            </w:r>
            <w:r w:rsidRPr="00430BB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mechanical ventilation must be provided in compliance with NZBC G4 as if windows were closed.</w:t>
            </w:r>
          </w:p>
          <w:p w14:paraId="223E160A" w14:textId="32644F79" w:rsidR="00701F6C" w:rsidRPr="00430BB2" w:rsidRDefault="00701F6C" w:rsidP="00C1496A">
            <w:pPr>
              <w:pStyle w:val="Title"/>
              <w:numPr>
                <w:ilvl w:val="0"/>
                <w:numId w:val="9"/>
              </w:numPr>
              <w:spacing w:before="40" w:after="80"/>
              <w:ind w:left="219" w:hanging="21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Air con &amp; </w:t>
            </w:r>
            <w:r w:rsidR="00D974F1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m</w:t>
            </w:r>
            <w:r w:rsidRPr="00430BB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ech</w:t>
            </w:r>
            <w:r w:rsidR="00D974F1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anical</w:t>
            </w:r>
            <w:r w:rsidRPr="00430BB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ventilation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noise </w:t>
            </w:r>
            <w:r w:rsidRPr="00430BB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requirements specified in rule.</w:t>
            </w:r>
          </w:p>
          <w:p w14:paraId="7C1E96E2" w14:textId="77777777" w:rsidR="00701F6C" w:rsidRPr="00430BB2" w:rsidRDefault="00701F6C" w:rsidP="00430BB2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30BB2">
              <w:rPr>
                <w:rFonts w:asciiTheme="minorHAnsi" w:hAnsiTheme="minorHAnsi" w:cstheme="minorHAnsi"/>
                <w:b w:val="0"/>
                <w:sz w:val="18"/>
                <w:szCs w:val="18"/>
              </w:rPr>
              <w:t>New buildings and additions to existing buildings within the 50 dB contours:</w:t>
            </w:r>
          </w:p>
          <w:p w14:paraId="09A1F82E" w14:textId="77777777" w:rsidR="00701F6C" w:rsidRPr="00007425" w:rsidRDefault="00701F6C" w:rsidP="00C1496A">
            <w:pPr>
              <w:pStyle w:val="Title"/>
              <w:numPr>
                <w:ilvl w:val="0"/>
                <w:numId w:val="10"/>
              </w:numPr>
              <w:spacing w:before="40" w:after="80"/>
              <w:ind w:left="219" w:hanging="21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Acoustic insulation requirements to be met, and a report provided with BC applications. </w:t>
            </w:r>
          </w:p>
          <w:p w14:paraId="33D7146E" w14:textId="008FF912" w:rsidR="00701F6C" w:rsidRPr="00007425" w:rsidRDefault="00701F6C" w:rsidP="00007425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007425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Doesn’t apply within Airport Noise Rule Exclusion overlay.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832C" w14:textId="77777777" w:rsidR="00701F6C" w:rsidRPr="00E97133" w:rsidRDefault="00701F6C" w:rsidP="00113B6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0D06764C" w14:textId="77777777" w:rsidR="007465D1" w:rsidRDefault="007465D1"/>
    <w:tbl>
      <w:tblPr>
        <w:tblW w:w="1034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63"/>
        <w:gridCol w:w="566"/>
        <w:gridCol w:w="5848"/>
        <w:gridCol w:w="143"/>
        <w:gridCol w:w="2693"/>
      </w:tblGrid>
      <w:tr w:rsidR="002A41DA" w:rsidRPr="00331327" w14:paraId="658B46BF" w14:textId="77777777" w:rsidTr="00E8526D">
        <w:trPr>
          <w:cantSplit/>
          <w:trHeight w:val="291"/>
          <w:tblHeader/>
        </w:trPr>
        <w:tc>
          <w:tcPr>
            <w:tcW w:w="10344" w:type="dxa"/>
            <w:gridSpan w:val="6"/>
            <w:shd w:val="clear" w:color="auto" w:fill="2E74B5" w:themeFill="accent1" w:themeFillShade="BF"/>
            <w:vAlign w:val="center"/>
          </w:tcPr>
          <w:p w14:paraId="35DFCB69" w14:textId="4818528C" w:rsidR="002A41DA" w:rsidRPr="00331327" w:rsidRDefault="002A41DA" w:rsidP="00A35C57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bookmarkStart w:id="5" w:name="_Hlk146030992"/>
            <w:r w:rsidRPr="00331327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 xml:space="preserve">AREA SPECIFIC RULES </w:t>
            </w:r>
            <w:r w:rsidR="0079640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–</w:t>
            </w:r>
            <w:r w:rsidRPr="00331327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 xml:space="preserve"> 14</w:t>
            </w:r>
            <w:r w:rsidR="0079640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A.</w:t>
            </w:r>
            <w:r w:rsidR="00754CF2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5</w:t>
            </w:r>
            <w:r w:rsidR="0079640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.3</w:t>
            </w:r>
          </w:p>
        </w:tc>
      </w:tr>
      <w:tr w:rsidR="002A41DA" w:rsidRPr="00331327" w14:paraId="68663C52" w14:textId="77777777" w:rsidTr="00E8526D">
        <w:trPr>
          <w:cantSplit/>
          <w:trHeight w:val="265"/>
          <w:tblHeader/>
        </w:trPr>
        <w:tc>
          <w:tcPr>
            <w:tcW w:w="1660" w:type="dxa"/>
            <w:gridSpan w:val="3"/>
            <w:vAlign w:val="center"/>
          </w:tcPr>
          <w:p w14:paraId="2B25F1CB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Compliance</w:t>
            </w:r>
          </w:p>
        </w:tc>
        <w:tc>
          <w:tcPr>
            <w:tcW w:w="5848" w:type="dxa"/>
            <w:vMerge w:val="restart"/>
            <w:vAlign w:val="center"/>
          </w:tcPr>
          <w:p w14:paraId="69B9BB81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Rule</w:t>
            </w:r>
          </w:p>
        </w:tc>
        <w:tc>
          <w:tcPr>
            <w:tcW w:w="2836" w:type="dxa"/>
            <w:gridSpan w:val="2"/>
            <w:vMerge w:val="restart"/>
            <w:vAlign w:val="center"/>
          </w:tcPr>
          <w:p w14:paraId="155B3E00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Comments</w:t>
            </w:r>
          </w:p>
        </w:tc>
      </w:tr>
      <w:tr w:rsidR="002A41DA" w:rsidRPr="00331327" w14:paraId="45F84B07" w14:textId="77777777" w:rsidTr="00E8526D">
        <w:trPr>
          <w:cantSplit/>
          <w:trHeight w:val="336"/>
          <w:tblHeader/>
        </w:trPr>
        <w:tc>
          <w:tcPr>
            <w:tcW w:w="531" w:type="dxa"/>
            <w:vAlign w:val="center"/>
          </w:tcPr>
          <w:p w14:paraId="35250A14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563" w:type="dxa"/>
            <w:vAlign w:val="center"/>
          </w:tcPr>
          <w:p w14:paraId="69007782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66" w:type="dxa"/>
            <w:vAlign w:val="center"/>
          </w:tcPr>
          <w:p w14:paraId="51F592B0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5848" w:type="dxa"/>
            <w:vMerge/>
            <w:vAlign w:val="center"/>
          </w:tcPr>
          <w:p w14:paraId="55094952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14:paraId="604EB165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1DA" w:rsidRPr="00331327" w14:paraId="3607F678" w14:textId="77777777" w:rsidTr="00E8526D">
        <w:tc>
          <w:tcPr>
            <w:tcW w:w="10344" w:type="dxa"/>
            <w:gridSpan w:val="6"/>
            <w:shd w:val="clear" w:color="auto" w:fill="BDD6EE" w:themeFill="accent1" w:themeFillTint="66"/>
            <w:vAlign w:val="center"/>
          </w:tcPr>
          <w:p w14:paraId="6163357D" w14:textId="5EBE4A8C" w:rsidR="002A41DA" w:rsidRPr="00331327" w:rsidRDefault="0004533E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Activity Status </w:t>
            </w:r>
          </w:p>
        </w:tc>
      </w:tr>
      <w:tr w:rsidR="002A41DA" w:rsidRPr="00331327" w14:paraId="2806F598" w14:textId="77777777" w:rsidTr="00E8526D">
        <w:tc>
          <w:tcPr>
            <w:tcW w:w="531" w:type="dxa"/>
          </w:tcPr>
          <w:p w14:paraId="6A872F4F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5F2EE21B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24A5220B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8" w:type="dxa"/>
          </w:tcPr>
          <w:p w14:paraId="41AAE185" w14:textId="613D26F5" w:rsidR="00796408" w:rsidRPr="00796408" w:rsidRDefault="00E66540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14A.5.3.1.1 </w:t>
            </w:r>
            <w:r w:rsidR="005C4C28">
              <w:rPr>
                <w:rFonts w:asciiTheme="minorHAnsi" w:hAnsiTheme="minorHAnsi" w:cstheme="minorHAnsi"/>
                <w:bCs/>
                <w:sz w:val="18"/>
                <w:szCs w:val="18"/>
              </w:rPr>
              <w:t>Area-specific a</w:t>
            </w:r>
            <w:r w:rsidR="00A4536A">
              <w:rPr>
                <w:rFonts w:asciiTheme="minorHAnsi" w:hAnsiTheme="minorHAnsi" w:cstheme="minorHAnsi"/>
                <w:bCs/>
                <w:sz w:val="18"/>
                <w:szCs w:val="18"/>
              </w:rPr>
              <w:t>ctivity standards</w:t>
            </w:r>
          </w:p>
          <w:p w14:paraId="6691468A" w14:textId="77777777" w:rsidR="002A41DA" w:rsidRDefault="00E66540" w:rsidP="004C52D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t>Does the activity comply with al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l</w: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relevant activity specific standards? Refer rule for details.</w:t>
            </w:r>
          </w:p>
          <w:p w14:paraId="6E4BFED0" w14:textId="5C3EC80F" w:rsidR="002266B4" w:rsidRDefault="002266B4" w:rsidP="002266B4">
            <w:pPr>
              <w:spacing w:before="40" w:after="40"/>
              <w:ind w:left="358" w:hanging="358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>P1 Activities within Accomm &amp; Community Facilities Overlay</w:t>
            </w:r>
          </w:p>
          <w:p w14:paraId="0D3F83FD" w14:textId="77777777" w:rsidR="002266B4" w:rsidRDefault="002266B4" w:rsidP="002266B4">
            <w:pPr>
              <w:pStyle w:val="Title"/>
              <w:spacing w:before="40" w:after="40"/>
              <w:ind w:left="357" w:hanging="357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P2 Visitor accomm within Accomm  &amp; Community Facilities Overlay</w:t>
            </w:r>
          </w:p>
          <w:p w14:paraId="1F38B007" w14:textId="72A1657E" w:rsidR="002266B4" w:rsidRPr="00331327" w:rsidRDefault="002266B4" w:rsidP="002266B4">
            <w:pPr>
              <w:pStyle w:val="Title"/>
              <w:spacing w:before="40" w:after="40"/>
              <w:ind w:left="357" w:hanging="357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P3 Retirement villages within Accomm  &amp; Community Facilities Overlay</w:t>
            </w:r>
          </w:p>
        </w:tc>
        <w:tc>
          <w:tcPr>
            <w:tcW w:w="2836" w:type="dxa"/>
            <w:gridSpan w:val="2"/>
          </w:tcPr>
          <w:p w14:paraId="5CC5B6E9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4B4511" w:rsidRPr="002B5095" w14:paraId="461CBB4F" w14:textId="77777777" w:rsidTr="00E8526D">
        <w:tc>
          <w:tcPr>
            <w:tcW w:w="531" w:type="dxa"/>
          </w:tcPr>
          <w:p w14:paraId="6E9D3686" w14:textId="77777777" w:rsidR="004B4511" w:rsidRPr="002B5095" w:rsidRDefault="004B4511" w:rsidP="0037580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20419716" w14:textId="77777777" w:rsidR="004B4511" w:rsidRPr="002B5095" w:rsidRDefault="004B4511" w:rsidP="0037580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0F4DE9C2" w14:textId="77777777" w:rsidR="004B4511" w:rsidRPr="002B5095" w:rsidRDefault="004B4511" w:rsidP="0037580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91" w:type="dxa"/>
            <w:gridSpan w:val="2"/>
          </w:tcPr>
          <w:p w14:paraId="3B0D64E2" w14:textId="601712E2" w:rsidR="004B4511" w:rsidRPr="002B5095" w:rsidRDefault="004B4511" w:rsidP="00375807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14A.5.1.3 </w:t>
            </w:r>
            <w:r w:rsidR="005C4C28">
              <w:rPr>
                <w:rFonts w:asciiTheme="minorHAnsi" w:hAnsiTheme="minorHAnsi" w:cstheme="minorHAnsi"/>
                <w:b/>
                <w:sz w:val="18"/>
                <w:szCs w:val="18"/>
              </w:rPr>
              <w:t>Area-specific r</w:t>
            </w:r>
            <w:r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estricted discretionary activities</w:t>
            </w:r>
          </w:p>
          <w:p w14:paraId="04F591F2" w14:textId="673F359A" w:rsidR="004B4511" w:rsidRPr="005E0988" w:rsidRDefault="004B4511" w:rsidP="004C52D2">
            <w:pPr>
              <w:spacing w:before="40" w:after="40"/>
              <w:ind w:left="358" w:hanging="358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040853" w:rsidRPr="005E098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RD1 </w:t>
            </w:r>
            <w:r w:rsidR="005E0988" w:rsidRPr="005E098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deleted – final numbering of all RD rules TBC</w:t>
            </w:r>
          </w:p>
          <w:p w14:paraId="39F1EE02" w14:textId="1BB1C689" w:rsidR="00040853" w:rsidRDefault="00040853" w:rsidP="004C52D2">
            <w:pPr>
              <w:spacing w:before="40" w:after="40"/>
              <w:ind w:left="358" w:hanging="358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>RD2 Commercial Local zone (St Albans) ODP – development in Areas A, B &amp; C</w:t>
            </w:r>
          </w:p>
          <w:p w14:paraId="1DE19B66" w14:textId="58CB14F6" w:rsidR="00040853" w:rsidRDefault="00040853" w:rsidP="004C52D2">
            <w:pPr>
              <w:spacing w:before="40" w:after="40"/>
              <w:ind w:left="358" w:hanging="358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5E098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RD3 Deans Ave development plan </w:t>
            </w:r>
            <w:r w:rsidR="005E0988" w:rsidRPr="005E098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– wording TBC</w:t>
            </w:r>
          </w:p>
          <w:p w14:paraId="4A807F94" w14:textId="2FBC64D5" w:rsidR="004C52D2" w:rsidRDefault="00444565" w:rsidP="00375807">
            <w:pPr>
              <w:spacing w:before="40" w:after="40"/>
              <w:ind w:left="358" w:hanging="358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040853">
              <w:rPr>
                <w:rFonts w:asciiTheme="minorHAnsi" w:hAnsiTheme="minorHAnsi" w:cstheme="minorHAnsi"/>
                <w:sz w:val="18"/>
                <w:szCs w:val="18"/>
              </w:rPr>
              <w:t xml:space="preserve">RD11 </w:t>
            </w:r>
            <w:r w:rsidR="004C52D2">
              <w:rPr>
                <w:rFonts w:asciiTheme="minorHAnsi" w:hAnsiTheme="minorHAnsi" w:cstheme="minorHAnsi"/>
                <w:sz w:val="18"/>
                <w:szCs w:val="18"/>
              </w:rPr>
              <w:t>Lyttelton Character Area Overlay:</w:t>
            </w:r>
          </w:p>
          <w:p w14:paraId="5BECA703" w14:textId="0604C2C8" w:rsidR="004B4511" w:rsidRDefault="004C52D2" w:rsidP="004C52D2">
            <w:pPr>
              <w:numPr>
                <w:ilvl w:val="0"/>
                <w:numId w:val="10"/>
              </w:numPr>
              <w:spacing w:before="40" w:after="40"/>
              <w:ind w:left="498" w:hanging="13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external alterations/additions/ demolition of existing buildings (excl demolition of accessory buildings)</w:t>
            </w:r>
          </w:p>
          <w:p w14:paraId="7D07EE7A" w14:textId="1D3BE3DB" w:rsidR="004C52D2" w:rsidRDefault="004C52D2" w:rsidP="004C52D2">
            <w:pPr>
              <w:numPr>
                <w:ilvl w:val="0"/>
                <w:numId w:val="10"/>
              </w:numPr>
              <w:spacing w:before="40" w:after="40"/>
              <w:ind w:left="498" w:hanging="13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new buildings and accessory buildings (excl within LP Influences O/lay)</w:t>
            </w:r>
          </w:p>
          <w:p w14:paraId="3181024D" w14:textId="3C23B8AC" w:rsidR="004C52D2" w:rsidRDefault="004C52D2" w:rsidP="004C52D2">
            <w:pPr>
              <w:numPr>
                <w:ilvl w:val="0"/>
                <w:numId w:val="10"/>
              </w:numPr>
              <w:spacing w:before="40" w:after="40"/>
              <w:ind w:left="498" w:hanging="13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relocation of building onto site. </w:t>
            </w:r>
          </w:p>
          <w:p w14:paraId="370CB12D" w14:textId="561A413D" w:rsidR="004C52D2" w:rsidRPr="004C52D2" w:rsidRDefault="004C52D2" w:rsidP="004C52D2">
            <w:pPr>
              <w:numPr>
                <w:ilvl w:val="0"/>
                <w:numId w:val="10"/>
              </w:numPr>
              <w:spacing w:before="40" w:after="40"/>
              <w:ind w:left="498" w:hanging="13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Res units not meeting site density 14A.5.3.2.7 or building coverage 14A.5.2.3.9</w:t>
            </w:r>
          </w:p>
          <w:p w14:paraId="20CFFD7A" w14:textId="126847F9" w:rsidR="004B4511" w:rsidRPr="002B5095" w:rsidRDefault="004B4511" w:rsidP="00375807">
            <w:pPr>
              <w:spacing w:before="40" w:after="40"/>
              <w:ind w:left="358" w:hanging="358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040853">
              <w:rPr>
                <w:rFonts w:asciiTheme="minorHAnsi" w:hAnsiTheme="minorHAnsi" w:cstheme="minorHAnsi"/>
                <w:sz w:val="18"/>
                <w:szCs w:val="18"/>
              </w:rPr>
              <w:t xml:space="preserve">RD4 </w:t>
            </w:r>
            <w:r w:rsidR="004C52D2">
              <w:rPr>
                <w:rFonts w:asciiTheme="minorHAnsi" w:hAnsiTheme="minorHAnsi" w:cstheme="minorHAnsi"/>
                <w:sz w:val="18"/>
                <w:szCs w:val="18"/>
              </w:rPr>
              <w:t>Service stations in ACF Overlay</w:t>
            </w:r>
          </w:p>
          <w:p w14:paraId="663BED90" w14:textId="77777777" w:rsidR="004B4511" w:rsidRPr="002B5095" w:rsidRDefault="004B4511" w:rsidP="00375807">
            <w:pPr>
              <w:spacing w:before="40" w:after="40"/>
              <w:ind w:left="358" w:hanging="358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2B5095">
              <w:rPr>
                <w:rFonts w:asciiTheme="minorHAnsi" w:hAnsiTheme="minorHAnsi" w:cstheme="minorHAnsi"/>
                <w:b/>
                <w:sz w:val="18"/>
                <w:szCs w:val="18"/>
              </w:rPr>
              <w:t>Other activities prescribed in this rule as a restricted discretionary activity due to non-compliance with the specified BF or activity specific standards.</w:t>
            </w:r>
          </w:p>
        </w:tc>
        <w:tc>
          <w:tcPr>
            <w:tcW w:w="2693" w:type="dxa"/>
          </w:tcPr>
          <w:p w14:paraId="241588A7" w14:textId="77777777" w:rsidR="004B4511" w:rsidRPr="002B5095" w:rsidRDefault="004B4511" w:rsidP="0037580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B509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50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50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50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50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50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50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69283240" w14:textId="77777777" w:rsidR="004B4511" w:rsidRPr="002B5095" w:rsidRDefault="004B4511" w:rsidP="0037580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5"/>
      <w:tr w:rsidR="0049069C" w:rsidRPr="00331327" w14:paraId="69D31988" w14:textId="77777777" w:rsidTr="00E8526D">
        <w:tc>
          <w:tcPr>
            <w:tcW w:w="10344" w:type="dxa"/>
            <w:gridSpan w:val="6"/>
            <w:shd w:val="clear" w:color="auto" w:fill="BDD6EE" w:themeFill="accent1" w:themeFillTint="66"/>
            <w:vAlign w:val="center"/>
          </w:tcPr>
          <w:p w14:paraId="5ACC472B" w14:textId="5EE74D15" w:rsidR="0049069C" w:rsidRPr="00331327" w:rsidRDefault="0004533E" w:rsidP="009663A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Built Form Standards</w:t>
            </w:r>
          </w:p>
        </w:tc>
      </w:tr>
      <w:tr w:rsidR="0004533E" w:rsidRPr="00124455" w14:paraId="1AA31AD0" w14:textId="77777777" w:rsidTr="00375807">
        <w:tc>
          <w:tcPr>
            <w:tcW w:w="531" w:type="dxa"/>
          </w:tcPr>
          <w:p w14:paraId="40109F23" w14:textId="77777777" w:rsidR="0004533E" w:rsidRPr="00124455" w:rsidRDefault="0004533E" w:rsidP="00375807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58B5DC60" w14:textId="77777777" w:rsidR="0004533E" w:rsidRPr="00124455" w:rsidRDefault="0004533E" w:rsidP="00375807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53D446D6" w14:textId="77777777" w:rsidR="0004533E" w:rsidRPr="00124455" w:rsidRDefault="0004533E" w:rsidP="00375807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848" w:type="dxa"/>
          </w:tcPr>
          <w:p w14:paraId="11AE522B" w14:textId="53900ED6" w:rsidR="0004533E" w:rsidRPr="005E0988" w:rsidRDefault="0004533E" w:rsidP="00375807">
            <w:pPr>
              <w:spacing w:before="40" w:after="40"/>
              <w:ind w:left="317" w:hanging="317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5E098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14A.5.3.2.1 Area specific development plans </w:t>
            </w:r>
            <w:r w:rsidR="005E098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– final wording TBC</w:t>
            </w:r>
          </w:p>
          <w:p w14:paraId="6792E79A" w14:textId="77777777" w:rsidR="0004533E" w:rsidRPr="005E0988" w:rsidRDefault="0004533E" w:rsidP="00375807">
            <w:pPr>
              <w:spacing w:before="40" w:after="4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5E098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RMD Higher Height Limit &amp; Site Density Overlay at Deans Ave:</w:t>
            </w:r>
          </w:p>
          <w:p w14:paraId="09CBF0B1" w14:textId="77777777" w:rsidR="0004533E" w:rsidRPr="00124455" w:rsidRDefault="0004533E" w:rsidP="00375807">
            <w:pPr>
              <w:spacing w:before="40" w:after="4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5E0988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Sites must not access Deans Ave other than via proposed road shown on Development Plan Addington – App 14A.16.3. </w:t>
            </w:r>
          </w:p>
        </w:tc>
        <w:tc>
          <w:tcPr>
            <w:tcW w:w="2836" w:type="dxa"/>
            <w:gridSpan w:val="2"/>
          </w:tcPr>
          <w:p w14:paraId="6FDD5F6F" w14:textId="77777777" w:rsidR="0004533E" w:rsidRPr="00124455" w:rsidRDefault="0004533E" w:rsidP="0037580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124455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4455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24455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r>
            <w:r w:rsidRPr="00124455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separate"/>
            </w:r>
            <w:r w:rsidRPr="00124455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124455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124455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124455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124455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124455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BF75B5" w:rsidRPr="00124455" w14:paraId="06ADF93C" w14:textId="77777777" w:rsidTr="00375807">
        <w:tc>
          <w:tcPr>
            <w:tcW w:w="531" w:type="dxa"/>
          </w:tcPr>
          <w:p w14:paraId="2572321A" w14:textId="44668AA6" w:rsidR="00BF75B5" w:rsidRPr="00124455" w:rsidRDefault="00BF75B5" w:rsidP="00BF75B5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28F8D295" w14:textId="2CE1E596" w:rsidR="00BF75B5" w:rsidRPr="00124455" w:rsidRDefault="00BF75B5" w:rsidP="00BF75B5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6CB36E60" w14:textId="713178D1" w:rsidR="00BF75B5" w:rsidRPr="00124455" w:rsidRDefault="00BF75B5" w:rsidP="00BF75B5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1244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848" w:type="dxa"/>
          </w:tcPr>
          <w:p w14:paraId="3A9E4752" w14:textId="194C242C" w:rsidR="00BF75B5" w:rsidRPr="00A41A9A" w:rsidRDefault="00BF75B5" w:rsidP="005E098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pPr>
            <w:r w:rsidRPr="00A41A9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14A.5.3.2.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2</w:t>
            </w:r>
            <w:r w:rsidRPr="00A41A9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5E098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Deleted – final rule numbering TBC</w:t>
            </w:r>
          </w:p>
        </w:tc>
        <w:tc>
          <w:tcPr>
            <w:tcW w:w="2836" w:type="dxa"/>
            <w:gridSpan w:val="2"/>
          </w:tcPr>
          <w:p w14:paraId="6522E4BC" w14:textId="78A1E9F1" w:rsidR="00BF75B5" w:rsidRPr="00124455" w:rsidRDefault="00BF75B5" w:rsidP="00BF75B5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232899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899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32899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r>
            <w:r w:rsidRPr="00232899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separate"/>
            </w:r>
            <w:r w:rsidRPr="00232899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32899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32899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32899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32899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32899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04533E" w:rsidRPr="00232899" w14:paraId="4D4CC315" w14:textId="77777777" w:rsidTr="00375807">
        <w:tc>
          <w:tcPr>
            <w:tcW w:w="531" w:type="dxa"/>
          </w:tcPr>
          <w:p w14:paraId="7A08F3CF" w14:textId="77777777" w:rsidR="0004533E" w:rsidRPr="00232899" w:rsidRDefault="0004533E" w:rsidP="00375807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328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8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2328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2328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2328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447E4283" w14:textId="77777777" w:rsidR="0004533E" w:rsidRPr="00232899" w:rsidRDefault="0004533E" w:rsidP="00375807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328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8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2328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2328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2328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3ACA6E3D" w14:textId="77777777" w:rsidR="0004533E" w:rsidRPr="00232899" w:rsidRDefault="0004533E" w:rsidP="00375807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328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8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2328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2328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23289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848" w:type="dxa"/>
          </w:tcPr>
          <w:p w14:paraId="02F3DB0D" w14:textId="77777777" w:rsidR="0004533E" w:rsidRPr="00232899" w:rsidRDefault="0004533E" w:rsidP="00375807">
            <w:pPr>
              <w:spacing w:before="40" w:after="40"/>
              <w:ind w:left="317" w:hanging="317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3289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14A.5.3.2.3 Building height</w:t>
            </w:r>
          </w:p>
          <w:p w14:paraId="371CE733" w14:textId="605DB756" w:rsidR="0004533E" w:rsidRDefault="0004533E" w:rsidP="00375807">
            <w:pPr>
              <w:spacing w:before="40" w:after="4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Accomm </w:t>
            </w:r>
            <w:r w:rsidR="006866A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&amp; Comm Facilities O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verlay: </w:t>
            </w:r>
            <w:r w:rsidRPr="0023289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11m, or 12m for part of building with a pitched roof of at least 22°.</w:t>
            </w:r>
          </w:p>
          <w:p w14:paraId="602740BC" w14:textId="0DECE11F" w:rsidR="0004533E" w:rsidRPr="00232899" w:rsidRDefault="0004533E" w:rsidP="00375807">
            <w:pPr>
              <w:spacing w:before="40" w:after="4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St Albans ODP - 14m in Area A on ODP. Rule 14A.5.2.3 doesn’t apply.</w:t>
            </w:r>
          </w:p>
        </w:tc>
        <w:tc>
          <w:tcPr>
            <w:tcW w:w="2836" w:type="dxa"/>
            <w:gridSpan w:val="2"/>
          </w:tcPr>
          <w:p w14:paraId="5CEB6349" w14:textId="77777777" w:rsidR="0004533E" w:rsidRPr="00232899" w:rsidRDefault="0004533E" w:rsidP="0037580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232899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899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32899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r>
            <w:r w:rsidRPr="00232899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separate"/>
            </w:r>
            <w:r w:rsidRPr="00232899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32899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32899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32899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32899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232899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04533E" w:rsidRPr="00DC26BF" w14:paraId="58CF21FD" w14:textId="77777777" w:rsidTr="00375807">
        <w:tc>
          <w:tcPr>
            <w:tcW w:w="531" w:type="dxa"/>
          </w:tcPr>
          <w:p w14:paraId="0F4A1191" w14:textId="77777777" w:rsidR="0004533E" w:rsidRPr="00DC26BF" w:rsidRDefault="0004533E" w:rsidP="00375807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27909C94" w14:textId="77777777" w:rsidR="0004533E" w:rsidRPr="00DC26BF" w:rsidRDefault="0004533E" w:rsidP="00375807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71D39661" w14:textId="77777777" w:rsidR="0004533E" w:rsidRPr="00DC26BF" w:rsidRDefault="0004533E" w:rsidP="00375807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848" w:type="dxa"/>
          </w:tcPr>
          <w:p w14:paraId="5D3D056B" w14:textId="7E2E0492" w:rsidR="0004533E" w:rsidRPr="00DC26BF" w:rsidRDefault="0004533E" w:rsidP="00375807">
            <w:pPr>
              <w:spacing w:before="40" w:after="4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C26B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14A.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5</w:t>
            </w:r>
            <w:r w:rsidRPr="00DC26B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.3.2.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4</w:t>
            </w:r>
            <w:r w:rsidRPr="00DC26B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Maximum continuous building length </w:t>
            </w:r>
          </w:p>
          <w:p w14:paraId="2CDDCED9" w14:textId="77777777" w:rsidR="00A41A9A" w:rsidRDefault="00A41A9A" w:rsidP="00375807">
            <w:pPr>
              <w:spacing w:before="40" w:after="4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Specified activities in ACF Overlay:  </w:t>
            </w:r>
          </w:p>
          <w:p w14:paraId="0905AF38" w14:textId="175ED9FF" w:rsidR="0004533E" w:rsidRPr="00DC26BF" w:rsidRDefault="0004533E" w:rsidP="00A41A9A">
            <w:pPr>
              <w:numPr>
                <w:ilvl w:val="0"/>
                <w:numId w:val="31"/>
              </w:numPr>
              <w:spacing w:before="40" w:after="40"/>
              <w:ind w:left="216" w:hanging="216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DC26B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15m max length of building elevation for new buildings.</w:t>
            </w:r>
          </w:p>
          <w:p w14:paraId="3A1FA68D" w14:textId="77777777" w:rsidR="0004533E" w:rsidRPr="00DC26BF" w:rsidRDefault="0004533E" w:rsidP="00A41A9A">
            <w:pPr>
              <w:numPr>
                <w:ilvl w:val="0"/>
                <w:numId w:val="31"/>
              </w:numPr>
              <w:spacing w:before="40" w:after="40"/>
              <w:ind w:left="216" w:hanging="216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DC26B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10m max length for additions to existing buildings.</w:t>
            </w:r>
          </w:p>
        </w:tc>
        <w:tc>
          <w:tcPr>
            <w:tcW w:w="2836" w:type="dxa"/>
            <w:gridSpan w:val="2"/>
          </w:tcPr>
          <w:p w14:paraId="6B453355" w14:textId="77777777" w:rsidR="0004533E" w:rsidRPr="00DC26BF" w:rsidRDefault="0004533E" w:rsidP="0037580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DC26BF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26BF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C26BF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r>
            <w:r w:rsidRPr="00DC26BF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separate"/>
            </w:r>
            <w:r w:rsidRPr="00DC26BF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DC26BF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DC26BF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DC26BF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DC26BF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DC26BF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04533E" w:rsidRPr="00DC26BF" w14:paraId="50A0E4D4" w14:textId="77777777" w:rsidTr="00375807">
        <w:tc>
          <w:tcPr>
            <w:tcW w:w="531" w:type="dxa"/>
          </w:tcPr>
          <w:p w14:paraId="4C6E1C20" w14:textId="77777777" w:rsidR="0004533E" w:rsidRPr="00DC26BF" w:rsidRDefault="0004533E" w:rsidP="00375807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3739CD32" w14:textId="77777777" w:rsidR="0004533E" w:rsidRPr="00DC26BF" w:rsidRDefault="0004533E" w:rsidP="00375807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3F81BB46" w14:textId="77777777" w:rsidR="0004533E" w:rsidRPr="00DC26BF" w:rsidRDefault="0004533E" w:rsidP="00375807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DC26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848" w:type="dxa"/>
          </w:tcPr>
          <w:p w14:paraId="6EFA4A89" w14:textId="50C4E16B" w:rsidR="0004533E" w:rsidRPr="00DC26BF" w:rsidRDefault="0004533E" w:rsidP="00375807">
            <w:pPr>
              <w:spacing w:before="40" w:after="40"/>
              <w:ind w:left="317" w:hanging="317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C26B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14A.5.3.2.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5</w:t>
            </w:r>
            <w:r w:rsidRPr="00DC26B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Front entrances and facades</w:t>
            </w:r>
          </w:p>
          <w:p w14:paraId="636DE0AE" w14:textId="4A36320D" w:rsidR="00A41A9A" w:rsidRDefault="00A41A9A" w:rsidP="00375807">
            <w:pPr>
              <w:spacing w:before="40" w:after="4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Specified activities in ACF Overlay: </w:t>
            </w:r>
          </w:p>
          <w:p w14:paraId="130A6F5F" w14:textId="5455320C" w:rsidR="0004533E" w:rsidRPr="00DC26BF" w:rsidRDefault="0004533E" w:rsidP="00A41A9A">
            <w:pPr>
              <w:numPr>
                <w:ilvl w:val="0"/>
                <w:numId w:val="32"/>
              </w:numPr>
              <w:spacing w:before="40" w:after="40"/>
              <w:ind w:left="216" w:hanging="216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DC26B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Pedestrian access directly from the road frontage.</w:t>
            </w:r>
          </w:p>
          <w:p w14:paraId="125F3DE5" w14:textId="77777777" w:rsidR="0004533E" w:rsidRPr="00DC26BF" w:rsidRDefault="0004533E" w:rsidP="00A41A9A">
            <w:pPr>
              <w:numPr>
                <w:ilvl w:val="0"/>
                <w:numId w:val="32"/>
              </w:numPr>
              <w:spacing w:before="40" w:after="40"/>
              <w:ind w:left="216" w:hanging="216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DC26B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Min 30% glazing on ground floor along road frontage.</w:t>
            </w:r>
          </w:p>
          <w:p w14:paraId="6AD63E60" w14:textId="77777777" w:rsidR="0004533E" w:rsidRPr="00DC26BF" w:rsidRDefault="0004533E" w:rsidP="00A41A9A">
            <w:pPr>
              <w:numPr>
                <w:ilvl w:val="0"/>
                <w:numId w:val="32"/>
              </w:numPr>
              <w:spacing w:before="40" w:after="40"/>
              <w:ind w:left="216" w:hanging="216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DC26B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Min 20% glazing on elevations above ground level on road frontage. </w:t>
            </w:r>
          </w:p>
        </w:tc>
        <w:tc>
          <w:tcPr>
            <w:tcW w:w="2836" w:type="dxa"/>
            <w:gridSpan w:val="2"/>
          </w:tcPr>
          <w:p w14:paraId="3823CDF4" w14:textId="77777777" w:rsidR="0004533E" w:rsidRPr="00DC26BF" w:rsidRDefault="0004533E" w:rsidP="0037580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DC26BF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26BF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C26BF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r>
            <w:r w:rsidRPr="00DC26BF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separate"/>
            </w:r>
            <w:r w:rsidRPr="00DC26BF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DC26BF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DC26BF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DC26BF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DC26BF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DC26BF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E201E" w:rsidRPr="00C25EAB" w14:paraId="182C11E9" w14:textId="77777777" w:rsidTr="00E8526D">
        <w:tc>
          <w:tcPr>
            <w:tcW w:w="531" w:type="dxa"/>
          </w:tcPr>
          <w:p w14:paraId="60B23203" w14:textId="77777777" w:rsidR="004E201E" w:rsidRPr="00C25EAB" w:rsidRDefault="004E201E" w:rsidP="009663A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25EA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EA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C25EAB">
              <w:rPr>
                <w:rFonts w:asciiTheme="minorHAnsi" w:hAnsiTheme="minorHAnsi" w:cstheme="minorHAnsi"/>
                <w:sz w:val="18"/>
                <w:szCs w:val="18"/>
              </w:rPr>
            </w:r>
            <w:r w:rsidRPr="00C25EA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25EA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2F358D1C" w14:textId="77777777" w:rsidR="004E201E" w:rsidRPr="00C25EAB" w:rsidRDefault="004E201E" w:rsidP="009663A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25EA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EA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C25EAB">
              <w:rPr>
                <w:rFonts w:asciiTheme="minorHAnsi" w:hAnsiTheme="minorHAnsi" w:cstheme="minorHAnsi"/>
                <w:sz w:val="18"/>
                <w:szCs w:val="18"/>
              </w:rPr>
            </w:r>
            <w:r w:rsidRPr="00C25EA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25EA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347333DA" w14:textId="77777777" w:rsidR="004E201E" w:rsidRPr="00C25EAB" w:rsidRDefault="004E201E" w:rsidP="009663A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25EA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EA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C25EAB">
              <w:rPr>
                <w:rFonts w:asciiTheme="minorHAnsi" w:hAnsiTheme="minorHAnsi" w:cstheme="minorHAnsi"/>
                <w:sz w:val="18"/>
                <w:szCs w:val="18"/>
              </w:rPr>
            </w:r>
            <w:r w:rsidRPr="00C25EA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25EA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8" w:type="dxa"/>
          </w:tcPr>
          <w:p w14:paraId="3CDD2CF5" w14:textId="1DDD732F" w:rsidR="004E201E" w:rsidRPr="00EA07A7" w:rsidRDefault="004E201E" w:rsidP="00EA07A7">
            <w:pPr>
              <w:spacing w:before="40" w:after="40"/>
              <w:ind w:left="317" w:hanging="31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25EAB">
              <w:rPr>
                <w:rFonts w:asciiTheme="minorHAnsi" w:hAnsiTheme="minorHAnsi" w:cstheme="minorHAnsi"/>
                <w:b/>
                <w:sz w:val="18"/>
                <w:szCs w:val="18"/>
              </w:rPr>
              <w:t>14A.5.3.2.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 Landscaped areas for select areas</w:t>
            </w:r>
            <w:r w:rsidR="007510C7" w:rsidRPr="00040853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 xml:space="preserve"> </w:t>
            </w:r>
          </w:p>
          <w:p w14:paraId="0C516AA8" w14:textId="77777777" w:rsidR="0004533E" w:rsidRDefault="0004533E" w:rsidP="0004533E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A07A7">
              <w:rPr>
                <w:rFonts w:asciiTheme="minorHAnsi" w:hAnsiTheme="minorHAnsi" w:cstheme="minorHAnsi"/>
                <w:bCs/>
                <w:sz w:val="18"/>
                <w:szCs w:val="18"/>
              </w:rPr>
              <w:t>Accomm &amp; Community Facilities Overlay:</w:t>
            </w:r>
          </w:p>
          <w:p w14:paraId="2A7565A8" w14:textId="787235F7" w:rsidR="0004533E" w:rsidRPr="0000690A" w:rsidRDefault="0004533E" w:rsidP="0004533E">
            <w:pPr>
              <w:spacing w:before="40" w:after="40"/>
              <w:ind w:left="317" w:hanging="317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For non-res activities, area</w:t>
            </w:r>
            <w:r w:rsidRPr="0000690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s adjoining the road frontage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74C9A177" w14:textId="77777777" w:rsidR="0004533E" w:rsidRDefault="0004533E" w:rsidP="0004533E">
            <w:pPr>
              <w:numPr>
                <w:ilvl w:val="0"/>
                <w:numId w:val="10"/>
              </w:numPr>
              <w:spacing w:before="40" w:after="40"/>
              <w:ind w:left="216" w:hanging="216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00690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Min of 1 tree/10m of road frontage or part thereof, distributed along the frontage. </w:t>
            </w:r>
          </w:p>
          <w:p w14:paraId="087CD487" w14:textId="77777777" w:rsidR="0004533E" w:rsidRDefault="0004533E" w:rsidP="0004533E">
            <w:pPr>
              <w:numPr>
                <w:ilvl w:val="0"/>
                <w:numId w:val="10"/>
              </w:numPr>
              <w:spacing w:before="40" w:after="40"/>
              <w:ind w:left="216" w:hanging="216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04533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2m planted strip.</w:t>
            </w:r>
          </w:p>
          <w:p w14:paraId="4F3333A5" w14:textId="3BB25AE5" w:rsidR="00BF75B5" w:rsidRPr="00040853" w:rsidRDefault="0004533E" w:rsidP="00040853">
            <w:pPr>
              <w:numPr>
                <w:ilvl w:val="0"/>
                <w:numId w:val="10"/>
              </w:numPr>
              <w:spacing w:before="40" w:after="40"/>
              <w:ind w:left="216" w:hanging="216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00690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Sites adjoining residential and OS zones - 1 tree/10m of the boundary or part thereof, evenly spaced along boundary.</w:t>
            </w:r>
          </w:p>
        </w:tc>
        <w:tc>
          <w:tcPr>
            <w:tcW w:w="2836" w:type="dxa"/>
            <w:gridSpan w:val="2"/>
          </w:tcPr>
          <w:p w14:paraId="7A51335B" w14:textId="77777777" w:rsidR="004E201E" w:rsidRPr="00C25EAB" w:rsidRDefault="004E201E" w:rsidP="009663A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C25EAB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5EAB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C25EAB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C25EAB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C25EAB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25EAB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25EAB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25EAB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25EAB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25EAB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C5C60" w:rsidRPr="007C5C60" w14:paraId="397B6AC3" w14:textId="77777777" w:rsidTr="00E8526D">
        <w:tc>
          <w:tcPr>
            <w:tcW w:w="531" w:type="dxa"/>
          </w:tcPr>
          <w:p w14:paraId="7679FFBB" w14:textId="77777777" w:rsidR="00C25EAB" w:rsidRPr="007C5C60" w:rsidRDefault="00C25EAB" w:rsidP="009663A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C5C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C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C5C60">
              <w:rPr>
                <w:rFonts w:asciiTheme="minorHAnsi" w:hAnsiTheme="minorHAnsi" w:cstheme="minorHAnsi"/>
                <w:sz w:val="18"/>
                <w:szCs w:val="18"/>
              </w:rPr>
            </w:r>
            <w:r w:rsidRPr="007C5C6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C5C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415494D5" w14:textId="77777777" w:rsidR="00C25EAB" w:rsidRPr="007C5C60" w:rsidRDefault="00C25EAB" w:rsidP="009663A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C5C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C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C5C60">
              <w:rPr>
                <w:rFonts w:asciiTheme="minorHAnsi" w:hAnsiTheme="minorHAnsi" w:cstheme="minorHAnsi"/>
                <w:sz w:val="18"/>
                <w:szCs w:val="18"/>
              </w:rPr>
            </w:r>
            <w:r w:rsidRPr="007C5C6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C5C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64DE786F" w14:textId="77777777" w:rsidR="00C25EAB" w:rsidRPr="007C5C60" w:rsidRDefault="00C25EAB" w:rsidP="009663A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C5C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C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C5C60">
              <w:rPr>
                <w:rFonts w:asciiTheme="minorHAnsi" w:hAnsiTheme="minorHAnsi" w:cstheme="minorHAnsi"/>
                <w:sz w:val="18"/>
                <w:szCs w:val="18"/>
              </w:rPr>
            </w:r>
            <w:r w:rsidRPr="007C5C6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C5C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8" w:type="dxa"/>
          </w:tcPr>
          <w:p w14:paraId="45BF17FC" w14:textId="4062D0D1" w:rsidR="00C25EAB" w:rsidRPr="007C5C60" w:rsidRDefault="00C25EAB" w:rsidP="009663A6">
            <w:pPr>
              <w:spacing w:before="40" w:after="40"/>
              <w:ind w:left="317" w:hanging="31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5C60">
              <w:rPr>
                <w:rFonts w:asciiTheme="minorHAnsi" w:hAnsiTheme="minorHAnsi" w:cstheme="minorHAnsi"/>
                <w:b/>
                <w:sz w:val="18"/>
                <w:szCs w:val="18"/>
              </w:rPr>
              <w:t>14A.5.3.2.7 Site density</w:t>
            </w:r>
          </w:p>
          <w:p w14:paraId="4F07FA55" w14:textId="58CF1838" w:rsidR="0001348B" w:rsidRPr="005E0988" w:rsidRDefault="00EA07A7" w:rsidP="005E0988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</w:pPr>
            <w:r w:rsidRPr="00EA07A7">
              <w:rPr>
                <w:rFonts w:asciiTheme="minorHAnsi" w:hAnsiTheme="minorHAnsi" w:cstheme="minorHAnsi"/>
                <w:bCs/>
                <w:sz w:val="18"/>
                <w:szCs w:val="18"/>
              </w:rPr>
              <w:t>Lyttelton Character Area – Separate site with minimum</w:t>
            </w:r>
            <w:r w:rsidR="007C5C60" w:rsidRPr="00EA07A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net site area for residential unit</w:t>
            </w:r>
            <w:r w:rsidRPr="00EA07A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of  250m</w:t>
            </w:r>
            <w:r w:rsidRPr="00EA07A7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2</w:t>
            </w:r>
            <w:r w:rsidR="00A41A9A" w:rsidRPr="00EA07A7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41A9A" w:rsidRPr="00D15905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836" w:type="dxa"/>
            <w:gridSpan w:val="2"/>
          </w:tcPr>
          <w:p w14:paraId="001B7C47" w14:textId="77777777" w:rsidR="00C25EAB" w:rsidRPr="007C5C60" w:rsidRDefault="00C25EAB" w:rsidP="009663A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C5C6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C6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7C5C6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7C5C6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7C5C6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C5C6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C5C6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C5C6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C5C6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C5C6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01348B" w:rsidRPr="0001348B" w14:paraId="66BCAE5E" w14:textId="77777777" w:rsidTr="00E8526D">
        <w:tc>
          <w:tcPr>
            <w:tcW w:w="531" w:type="dxa"/>
          </w:tcPr>
          <w:p w14:paraId="055E182C" w14:textId="77777777" w:rsidR="00584C2B" w:rsidRPr="0001348B" w:rsidRDefault="00584C2B" w:rsidP="009663A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134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05D20291" w14:textId="77777777" w:rsidR="00584C2B" w:rsidRPr="0001348B" w:rsidRDefault="00584C2B" w:rsidP="009663A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134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64B91917" w14:textId="77777777" w:rsidR="00584C2B" w:rsidRPr="0001348B" w:rsidRDefault="00584C2B" w:rsidP="009663A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134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8" w:type="dxa"/>
          </w:tcPr>
          <w:p w14:paraId="2C046BD6" w14:textId="5E0F509B" w:rsidR="00584C2B" w:rsidRPr="00EA07A7" w:rsidRDefault="00584C2B" w:rsidP="009663A6">
            <w:pPr>
              <w:spacing w:before="40" w:after="40"/>
              <w:ind w:left="317" w:hanging="31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A07A7">
              <w:rPr>
                <w:rFonts w:asciiTheme="minorHAnsi" w:hAnsiTheme="minorHAnsi" w:cstheme="minorHAnsi"/>
                <w:b/>
                <w:sz w:val="18"/>
                <w:szCs w:val="18"/>
              </w:rPr>
              <w:t>14A.</w:t>
            </w:r>
            <w:r w:rsidR="006E0EB1" w:rsidRPr="00EA07A7">
              <w:rPr>
                <w:rFonts w:asciiTheme="minorHAnsi" w:hAnsiTheme="minorHAnsi" w:cstheme="minorHAnsi"/>
                <w:b/>
                <w:sz w:val="18"/>
                <w:szCs w:val="18"/>
              </w:rPr>
              <w:t>5.3.2.8 Setbacks</w:t>
            </w:r>
          </w:p>
          <w:p w14:paraId="34B43A5B" w14:textId="58E9E580" w:rsidR="007876D5" w:rsidRPr="00EA07A7" w:rsidRDefault="004F3068" w:rsidP="009663A6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A07A7">
              <w:rPr>
                <w:rFonts w:asciiTheme="minorHAnsi" w:hAnsiTheme="minorHAnsi" w:cstheme="minorHAnsi"/>
                <w:bCs/>
                <w:sz w:val="18"/>
                <w:szCs w:val="18"/>
              </w:rPr>
              <w:t>Lyttelton CA overlay</w:t>
            </w:r>
            <w:r w:rsidR="007876D5" w:rsidRPr="00EA07A7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  <w:r w:rsidR="00040853" w:rsidRPr="00EA07A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16F86264" w14:textId="01790F55" w:rsidR="00584C2B" w:rsidRPr="00EA07A7" w:rsidRDefault="007876D5" w:rsidP="00C25EAB">
            <w:pPr>
              <w:numPr>
                <w:ilvl w:val="0"/>
                <w:numId w:val="13"/>
              </w:numPr>
              <w:spacing w:before="40" w:after="40"/>
              <w:ind w:left="215" w:hanging="21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A07A7">
              <w:rPr>
                <w:rFonts w:asciiTheme="minorHAnsi" w:hAnsiTheme="minorHAnsi" w:cstheme="minorHAnsi"/>
                <w:bCs/>
                <w:sz w:val="18"/>
                <w:szCs w:val="18"/>
              </w:rPr>
              <w:t>N</w:t>
            </w:r>
            <w:r w:rsidR="004F3068" w:rsidRPr="00EA07A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il setback from </w:t>
            </w:r>
            <w:r w:rsidR="00DD79AE" w:rsidRPr="00EA07A7">
              <w:rPr>
                <w:rFonts w:asciiTheme="minorHAnsi" w:hAnsiTheme="minorHAnsi" w:cstheme="minorHAnsi"/>
                <w:bCs/>
                <w:sz w:val="18"/>
                <w:szCs w:val="18"/>
              </w:rPr>
              <w:t>one side internal boundary permitted with written approval of adjoining owner/occupier</w:t>
            </w:r>
          </w:p>
          <w:p w14:paraId="40A9BA79" w14:textId="0DF2547D" w:rsidR="0001348B" w:rsidRPr="005E0988" w:rsidRDefault="007876D5" w:rsidP="005E0988">
            <w:pPr>
              <w:numPr>
                <w:ilvl w:val="0"/>
                <w:numId w:val="13"/>
              </w:numPr>
              <w:spacing w:before="40" w:after="40"/>
              <w:ind w:left="215" w:hanging="21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A07A7">
              <w:rPr>
                <w:rFonts w:asciiTheme="minorHAnsi" w:hAnsiTheme="minorHAnsi" w:cstheme="minorHAnsi"/>
                <w:bCs/>
                <w:sz w:val="18"/>
                <w:szCs w:val="18"/>
              </w:rPr>
              <w:t>No road boundary setback</w:t>
            </w:r>
            <w:r w:rsidR="00C25EAB" w:rsidRPr="00EA07A7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2836" w:type="dxa"/>
            <w:gridSpan w:val="2"/>
          </w:tcPr>
          <w:p w14:paraId="4A63839B" w14:textId="77777777" w:rsidR="00584C2B" w:rsidRPr="0001348B" w:rsidRDefault="00584C2B" w:rsidP="009663A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1348B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348B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01348B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01348B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01348B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1348B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1348B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1348B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1348B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1348B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01348B" w:rsidRPr="0001348B" w14:paraId="44DCFD37" w14:textId="77777777" w:rsidTr="00E8526D">
        <w:tc>
          <w:tcPr>
            <w:tcW w:w="531" w:type="dxa"/>
          </w:tcPr>
          <w:p w14:paraId="6F7A3CEA" w14:textId="77777777" w:rsidR="00584C2B" w:rsidRPr="0001348B" w:rsidRDefault="00584C2B" w:rsidP="009663A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134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3F7FC502" w14:textId="77777777" w:rsidR="00584C2B" w:rsidRPr="0001348B" w:rsidRDefault="00584C2B" w:rsidP="009663A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134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23B5BC10" w14:textId="77777777" w:rsidR="00584C2B" w:rsidRPr="0001348B" w:rsidRDefault="00584C2B" w:rsidP="009663A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134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134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8" w:type="dxa"/>
          </w:tcPr>
          <w:p w14:paraId="0DFC7F97" w14:textId="39EEFD74" w:rsidR="00584C2B" w:rsidRPr="0001348B" w:rsidRDefault="00584C2B" w:rsidP="009663A6">
            <w:pPr>
              <w:spacing w:before="40" w:after="40"/>
              <w:ind w:left="317" w:hanging="31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348B">
              <w:rPr>
                <w:rFonts w:asciiTheme="minorHAnsi" w:hAnsiTheme="minorHAnsi" w:cstheme="minorHAnsi"/>
                <w:b/>
                <w:sz w:val="18"/>
                <w:szCs w:val="18"/>
              </w:rPr>
              <w:t>14A.5.3.2.</w:t>
            </w:r>
            <w:r w:rsidR="008A2141" w:rsidRPr="0001348B">
              <w:rPr>
                <w:rFonts w:asciiTheme="minorHAnsi" w:hAnsiTheme="minorHAnsi" w:cstheme="minorHAnsi"/>
                <w:b/>
                <w:sz w:val="18"/>
                <w:szCs w:val="18"/>
              </w:rPr>
              <w:t>9 Building coverage</w:t>
            </w:r>
          </w:p>
          <w:p w14:paraId="110E17BA" w14:textId="507D71BD" w:rsidR="008A2141" w:rsidRPr="0001348B" w:rsidRDefault="00D15905" w:rsidP="009663A6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1348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Lyttelton CA overlay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 m</w:t>
            </w:r>
            <w:r w:rsidR="008A2141" w:rsidRPr="0001348B">
              <w:rPr>
                <w:rFonts w:asciiTheme="minorHAnsi" w:hAnsiTheme="minorHAnsi" w:cstheme="minorHAnsi"/>
                <w:bCs/>
                <w:sz w:val="18"/>
                <w:szCs w:val="18"/>
              </w:rPr>
              <w:t>ax 60% of net site area.</w:t>
            </w:r>
          </w:p>
          <w:p w14:paraId="1636892F" w14:textId="77777777" w:rsidR="008A2141" w:rsidRPr="0001348B" w:rsidRDefault="008A2141" w:rsidP="009663A6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1348B">
              <w:rPr>
                <w:rFonts w:asciiTheme="minorHAnsi" w:hAnsiTheme="minorHAnsi" w:cstheme="minorHAnsi"/>
                <w:bCs/>
                <w:sz w:val="18"/>
                <w:szCs w:val="18"/>
              </w:rPr>
              <w:t>Exclusions:</w:t>
            </w:r>
          </w:p>
          <w:p w14:paraId="0DE5D687" w14:textId="77777777" w:rsidR="008A2141" w:rsidRPr="0001348B" w:rsidRDefault="008A2141" w:rsidP="006E0EB1">
            <w:pPr>
              <w:numPr>
                <w:ilvl w:val="0"/>
                <w:numId w:val="10"/>
              </w:numPr>
              <w:spacing w:before="40" w:after="40"/>
              <w:ind w:left="215" w:hanging="21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1348B">
              <w:rPr>
                <w:rFonts w:asciiTheme="minorHAnsi" w:hAnsiTheme="minorHAnsi" w:cstheme="minorHAnsi"/>
                <w:bCs/>
                <w:sz w:val="18"/>
                <w:szCs w:val="18"/>
              </w:rPr>
              <w:t>Fences/walls</w:t>
            </w:r>
          </w:p>
          <w:p w14:paraId="49D6B61B" w14:textId="77777777" w:rsidR="00584C2B" w:rsidRPr="0001348B" w:rsidRDefault="008A2141" w:rsidP="006E0EB1">
            <w:pPr>
              <w:numPr>
                <w:ilvl w:val="0"/>
                <w:numId w:val="10"/>
              </w:numPr>
              <w:spacing w:before="40" w:after="40"/>
              <w:ind w:left="215" w:hanging="21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1348B">
              <w:rPr>
                <w:rFonts w:asciiTheme="minorHAnsi" w:hAnsiTheme="minorHAnsi" w:cstheme="minorHAnsi"/>
                <w:bCs/>
                <w:sz w:val="18"/>
                <w:szCs w:val="18"/>
              </w:rPr>
              <w:t>Eaves/roof overhangs up to 600mm width and guttering up to 200mm width from wall of building</w:t>
            </w:r>
          </w:p>
          <w:p w14:paraId="7655A43C" w14:textId="77777777" w:rsidR="008A2141" w:rsidRPr="0001348B" w:rsidRDefault="008A2141" w:rsidP="006E0EB1">
            <w:pPr>
              <w:numPr>
                <w:ilvl w:val="0"/>
                <w:numId w:val="10"/>
              </w:numPr>
              <w:spacing w:before="40" w:after="40"/>
              <w:ind w:left="215" w:hanging="21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1348B">
              <w:rPr>
                <w:rFonts w:asciiTheme="minorHAnsi" w:hAnsiTheme="minorHAnsi" w:cstheme="minorHAnsi"/>
                <w:bCs/>
                <w:sz w:val="18"/>
                <w:szCs w:val="18"/>
              </w:rPr>
              <w:t>Uncovered pools up to 800mm height above GL</w:t>
            </w:r>
          </w:p>
          <w:p w14:paraId="2AB78C2A" w14:textId="78E6730F" w:rsidR="002266B4" w:rsidRPr="005E0988" w:rsidRDefault="008A2141" w:rsidP="005E0988">
            <w:pPr>
              <w:numPr>
                <w:ilvl w:val="0"/>
                <w:numId w:val="10"/>
              </w:numPr>
              <w:spacing w:before="40" w:after="40"/>
              <w:ind w:left="215" w:hanging="21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1348B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Decks/terraces/</w:t>
            </w:r>
            <w:r w:rsidR="00C60353" w:rsidRPr="0001348B">
              <w:rPr>
                <w:rFonts w:asciiTheme="minorHAnsi" w:hAnsiTheme="minorHAnsi" w:cstheme="minorHAnsi"/>
                <w:bCs/>
                <w:sz w:val="18"/>
                <w:szCs w:val="18"/>
              </w:rPr>
              <w:t>porches/balconies/verandahs/bay or box windows max 800mm above GL and</w:t>
            </w:r>
            <w:r w:rsidR="00C45448" w:rsidRPr="0001348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/or covered or unroofed, or if greater than 800mm and/or covered or roofed </w:t>
            </w:r>
            <w:r w:rsidR="006E0EB1" w:rsidRPr="0001348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have </w:t>
            </w:r>
            <w:r w:rsidR="00C45448" w:rsidRPr="0001348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max </w:t>
            </w:r>
            <w:r w:rsidR="006E0EB1" w:rsidRPr="0001348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total of </w:t>
            </w:r>
            <w:r w:rsidR="00C45448" w:rsidRPr="0001348B">
              <w:rPr>
                <w:rFonts w:asciiTheme="minorHAnsi" w:hAnsiTheme="minorHAnsi" w:cstheme="minorHAnsi"/>
                <w:bCs/>
                <w:sz w:val="18"/>
                <w:szCs w:val="18"/>
              </w:rPr>
              <w:t>6m</w:t>
            </w:r>
            <w:r w:rsidR="006E0EB1" w:rsidRPr="0001348B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2</w:t>
            </w:r>
            <w:r w:rsidR="006E0EB1" w:rsidRPr="0001348B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2836" w:type="dxa"/>
            <w:gridSpan w:val="2"/>
          </w:tcPr>
          <w:p w14:paraId="5E88E599" w14:textId="77777777" w:rsidR="00584C2B" w:rsidRPr="0001348B" w:rsidRDefault="00584C2B" w:rsidP="009663A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1348B"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348B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01348B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01348B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01348B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1348B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1348B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1348B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1348B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1348B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232E980E" w14:textId="77777777" w:rsidR="002D2A43" w:rsidRDefault="002D2A43"/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557"/>
        <w:gridCol w:w="567"/>
        <w:gridCol w:w="5832"/>
        <w:gridCol w:w="2815"/>
      </w:tblGrid>
      <w:tr w:rsidR="00807076" w:rsidRPr="00807076" w14:paraId="5681C70C" w14:textId="77777777" w:rsidTr="00F3358F">
        <w:trPr>
          <w:cantSplit/>
          <w:trHeight w:val="291"/>
          <w:tblHeader/>
        </w:trPr>
        <w:tc>
          <w:tcPr>
            <w:tcW w:w="10348" w:type="dxa"/>
            <w:gridSpan w:val="5"/>
            <w:shd w:val="clear" w:color="auto" w:fill="287888"/>
            <w:vAlign w:val="center"/>
          </w:tcPr>
          <w:p w14:paraId="022B69AD" w14:textId="77777777" w:rsidR="00807076" w:rsidRPr="00807076" w:rsidRDefault="00807076" w:rsidP="00807076">
            <w:pPr>
              <w:spacing w:before="60" w:after="4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80707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CHAPTER 7 - TRANSPORT RULES</w:t>
            </w:r>
          </w:p>
        </w:tc>
      </w:tr>
      <w:tr w:rsidR="00807076" w:rsidRPr="00807076" w14:paraId="696F2261" w14:textId="77777777" w:rsidTr="00F3358F">
        <w:trPr>
          <w:cantSplit/>
          <w:trHeight w:val="265"/>
          <w:tblHeader/>
        </w:trPr>
        <w:tc>
          <w:tcPr>
            <w:tcW w:w="1701" w:type="dxa"/>
            <w:gridSpan w:val="3"/>
            <w:vAlign w:val="center"/>
          </w:tcPr>
          <w:p w14:paraId="4BBDEFDA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Compliance</w:t>
            </w:r>
          </w:p>
        </w:tc>
        <w:tc>
          <w:tcPr>
            <w:tcW w:w="5832" w:type="dxa"/>
            <w:vMerge w:val="restart"/>
            <w:vAlign w:val="center"/>
          </w:tcPr>
          <w:p w14:paraId="50A75C88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Rule</w:t>
            </w:r>
          </w:p>
        </w:tc>
        <w:tc>
          <w:tcPr>
            <w:tcW w:w="2815" w:type="dxa"/>
            <w:vMerge w:val="restart"/>
            <w:vAlign w:val="center"/>
          </w:tcPr>
          <w:p w14:paraId="3F959B2F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Comments</w:t>
            </w:r>
          </w:p>
        </w:tc>
      </w:tr>
      <w:tr w:rsidR="00807076" w:rsidRPr="00807076" w14:paraId="417795F4" w14:textId="77777777" w:rsidTr="00F3358F">
        <w:trPr>
          <w:cantSplit/>
          <w:trHeight w:val="336"/>
          <w:tblHeader/>
        </w:trPr>
        <w:tc>
          <w:tcPr>
            <w:tcW w:w="577" w:type="dxa"/>
            <w:vAlign w:val="center"/>
          </w:tcPr>
          <w:p w14:paraId="6786C7F1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Y</w:t>
            </w:r>
          </w:p>
        </w:tc>
        <w:tc>
          <w:tcPr>
            <w:tcW w:w="557" w:type="dxa"/>
            <w:vAlign w:val="center"/>
          </w:tcPr>
          <w:p w14:paraId="38B14730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</w:p>
        </w:tc>
        <w:tc>
          <w:tcPr>
            <w:tcW w:w="567" w:type="dxa"/>
            <w:vAlign w:val="center"/>
          </w:tcPr>
          <w:p w14:paraId="0404BFBA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N/A</w:t>
            </w:r>
          </w:p>
        </w:tc>
        <w:tc>
          <w:tcPr>
            <w:tcW w:w="5832" w:type="dxa"/>
            <w:vMerge/>
            <w:vAlign w:val="center"/>
          </w:tcPr>
          <w:p w14:paraId="453BFA64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15" w:type="dxa"/>
            <w:vMerge/>
            <w:vAlign w:val="center"/>
          </w:tcPr>
          <w:p w14:paraId="2901B488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07076" w:rsidRPr="00807076" w14:paraId="2E37CDE6" w14:textId="77777777" w:rsidTr="00F3358F">
        <w:tc>
          <w:tcPr>
            <w:tcW w:w="10348" w:type="dxa"/>
            <w:gridSpan w:val="5"/>
            <w:shd w:val="clear" w:color="auto" w:fill="E6E6E6"/>
            <w:vAlign w:val="center"/>
          </w:tcPr>
          <w:p w14:paraId="23C09599" w14:textId="4146D059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7.4.2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Activity status</w:t>
            </w:r>
          </w:p>
        </w:tc>
      </w:tr>
      <w:tr w:rsidR="00807076" w:rsidRPr="00807076" w14:paraId="2C766542" w14:textId="77777777" w:rsidTr="00F3358F">
        <w:tc>
          <w:tcPr>
            <w:tcW w:w="577" w:type="dxa"/>
          </w:tcPr>
          <w:p w14:paraId="2DE2B6B0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6D875860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7C563DED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7DD2ABEC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C1 High traffic generation outside Central City, where:</w:t>
            </w:r>
          </w:p>
          <w:p w14:paraId="161A77C5" w14:textId="77777777" w:rsidR="00807076" w:rsidRPr="00807076" w:rsidRDefault="00807076" w:rsidP="00807076">
            <w:pPr>
              <w:numPr>
                <w:ilvl w:val="0"/>
                <w:numId w:val="22"/>
              </w:numPr>
              <w:spacing w:before="40" w:after="40"/>
              <w:ind w:left="283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Land use otherwise permitted in zone</w:t>
            </w:r>
          </w:p>
          <w:p w14:paraId="10717DF0" w14:textId="77777777" w:rsidR="00807076" w:rsidRPr="00807076" w:rsidRDefault="00807076" w:rsidP="00807076">
            <w:pPr>
              <w:numPr>
                <w:ilvl w:val="0"/>
                <w:numId w:val="22"/>
              </w:numPr>
              <w:spacing w:before="40" w:after="40"/>
              <w:ind w:left="283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Doesn’t exceed thresholds in table 7.4.4.18.1</w:t>
            </w:r>
          </w:p>
          <w:p w14:paraId="6CF90A98" w14:textId="77777777" w:rsidR="00807076" w:rsidRPr="00807076" w:rsidRDefault="00807076" w:rsidP="00807076">
            <w:pPr>
              <w:numPr>
                <w:ilvl w:val="0"/>
                <w:numId w:val="22"/>
              </w:numPr>
              <w:spacing w:before="40" w:after="40"/>
              <w:ind w:left="283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No direct vehicle access from SH, major arterial, or across railway</w:t>
            </w:r>
          </w:p>
          <w:p w14:paraId="29186214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RD1 Activity not meeting standards</w:t>
            </w:r>
          </w:p>
        </w:tc>
        <w:tc>
          <w:tcPr>
            <w:tcW w:w="2815" w:type="dxa"/>
          </w:tcPr>
          <w:p w14:paraId="277772A8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71A511BB" w14:textId="77777777" w:rsidTr="00F3358F">
        <w:tc>
          <w:tcPr>
            <w:tcW w:w="10348" w:type="dxa"/>
            <w:gridSpan w:val="5"/>
            <w:shd w:val="clear" w:color="auto" w:fill="E6E6E6"/>
            <w:vAlign w:val="center"/>
          </w:tcPr>
          <w:p w14:paraId="5F844DAF" w14:textId="5532EC69" w:rsidR="00807076" w:rsidRPr="00807076" w:rsidRDefault="00807076" w:rsidP="00F3358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7.4.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Rules</w:t>
            </w:r>
          </w:p>
        </w:tc>
      </w:tr>
      <w:tr w:rsidR="00807076" w:rsidRPr="00807076" w14:paraId="7493A6F2" w14:textId="77777777" w:rsidTr="00F3358F">
        <w:tc>
          <w:tcPr>
            <w:tcW w:w="577" w:type="dxa"/>
          </w:tcPr>
          <w:p w14:paraId="551760BA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7CE6B1E8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9441887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046DC7A4" w14:textId="61654F6A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7.4.3.1 Min/max number and dimension of car parks</w:t>
            </w:r>
          </w:p>
          <w:p w14:paraId="029094D5" w14:textId="77777777" w:rsidR="00807076" w:rsidRPr="00807076" w:rsidRDefault="00807076" w:rsidP="00807076">
            <w:pPr>
              <w:numPr>
                <w:ilvl w:val="0"/>
                <w:numId w:val="19"/>
              </w:numPr>
              <w:spacing w:before="40" w:after="40"/>
              <w:ind w:left="283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 xml:space="preserve">Min </w:t>
            </w:r>
            <w:r w:rsidRPr="008070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dimension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 xml:space="preserve"> of car parks available to the general public - Appendix 7.5.14 Table 7.5.1.3</w:t>
            </w:r>
          </w:p>
          <w:p w14:paraId="7FAA4FF8" w14:textId="77777777" w:rsidR="00807076" w:rsidRPr="00807076" w:rsidRDefault="00807076" w:rsidP="00807076">
            <w:pPr>
              <w:numPr>
                <w:ilvl w:val="0"/>
                <w:numId w:val="19"/>
              </w:numPr>
              <w:spacing w:before="40" w:after="40"/>
              <w:ind w:left="283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Mobility parks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 xml:space="preserve"> - Buildings with GFA &gt; 2,500m</w:t>
            </w:r>
            <w:r w:rsidRPr="00807076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2 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and other activities where standard parks are provided (except residential developments &lt; 3 units and VA ≤ 10 guests), Appendix 7.5.1 Table 7.5.1.2</w: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43CADDD3" w14:textId="77777777" w:rsidR="00807076" w:rsidRPr="00807076" w:rsidRDefault="00807076" w:rsidP="00807076">
            <w:pPr>
              <w:numPr>
                <w:ilvl w:val="0"/>
                <w:numId w:val="19"/>
              </w:numPr>
              <w:spacing w:before="40" w:after="40"/>
              <w:ind w:left="283" w:hanging="28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Cs/>
                <w:sz w:val="18"/>
                <w:szCs w:val="18"/>
              </w:rPr>
              <w:t>Parking and manoeuvring area must be no more than 50% GLFA of buildings on site (excl HRZ).</w:t>
            </w:r>
          </w:p>
        </w:tc>
        <w:tc>
          <w:tcPr>
            <w:tcW w:w="2815" w:type="dxa"/>
          </w:tcPr>
          <w:p w14:paraId="58ACB474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3602D6D4" w14:textId="77777777" w:rsidTr="00F3358F">
        <w:tc>
          <w:tcPr>
            <w:tcW w:w="577" w:type="dxa"/>
          </w:tcPr>
          <w:p w14:paraId="5F7885D4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2DB2EFDB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4A8763B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0DCC8ED4" w14:textId="06A48BAC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7.4.3.2 Minimum number of cycle parking facilities</w:t>
            </w:r>
          </w:p>
          <w:p w14:paraId="7B9002E0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All activities, Appendix 7.5.2.</w:t>
            </w:r>
          </w:p>
        </w:tc>
        <w:tc>
          <w:tcPr>
            <w:tcW w:w="2815" w:type="dxa"/>
          </w:tcPr>
          <w:p w14:paraId="5ECB3D7D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2CF5176F" w14:textId="77777777" w:rsidTr="00F3358F">
        <w:tc>
          <w:tcPr>
            <w:tcW w:w="577" w:type="dxa"/>
          </w:tcPr>
          <w:p w14:paraId="25F84481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4068D943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1163B55C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393151FB" w14:textId="718F0A1E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7.4.3.3 Minimum number of loading spaces</w:t>
            </w:r>
          </w:p>
          <w:p w14:paraId="3422CF91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 xml:space="preserve">All activities where standard car parks are provided, Appendix 7.5.3. </w:t>
            </w:r>
          </w:p>
        </w:tc>
        <w:tc>
          <w:tcPr>
            <w:tcW w:w="2815" w:type="dxa"/>
          </w:tcPr>
          <w:p w14:paraId="3681CF29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6F478E1B" w14:textId="77777777" w:rsidTr="00F3358F"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14:paraId="5190D85D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14:paraId="3CC935DC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E241D1B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  <w:tcBorders>
              <w:bottom w:val="single" w:sz="4" w:space="0" w:color="auto"/>
            </w:tcBorders>
            <w:shd w:val="clear" w:color="auto" w:fill="auto"/>
          </w:tcPr>
          <w:p w14:paraId="1A7D42AB" w14:textId="1784096D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7.4.3.4  Manoeuvring for parking and loading areas </w:t>
            </w:r>
          </w:p>
          <w:p w14:paraId="527353E4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On-site manoeuvring area for all activities with a vehicle access Appendix 7.5.6</w:t>
            </w:r>
          </w:p>
          <w:p w14:paraId="2D662D64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 xml:space="preserve">On-site vehicle manoeuvring area to ensure forward movement off site – all activities with access to </w:t>
            </w:r>
          </w:p>
          <w:p w14:paraId="43E82DD2" w14:textId="77777777" w:rsidR="00807076" w:rsidRPr="00807076" w:rsidRDefault="00807076" w:rsidP="00807076">
            <w:pPr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 xml:space="preserve">arterial road; </w:t>
            </w:r>
          </w:p>
          <w:p w14:paraId="3D32989F" w14:textId="77777777" w:rsidR="00807076" w:rsidRPr="00807076" w:rsidRDefault="00807076" w:rsidP="00807076">
            <w:pPr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 xml:space="preserve">collector road where 3 or more parking spaces provided; </w:t>
            </w:r>
          </w:p>
          <w:p w14:paraId="5915E29A" w14:textId="77777777" w:rsidR="00807076" w:rsidRPr="00807076" w:rsidRDefault="00807076" w:rsidP="00807076">
            <w:pPr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 xml:space="preserve">6 or more parking spaces; </w:t>
            </w:r>
          </w:p>
          <w:p w14:paraId="37A31BCB" w14:textId="77777777" w:rsidR="00807076" w:rsidRPr="00807076" w:rsidRDefault="00807076" w:rsidP="00807076">
            <w:pPr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 xml:space="preserve">heavy vehicle bay; </w:t>
            </w:r>
          </w:p>
          <w:p w14:paraId="076DF92A" w14:textId="77777777" w:rsidR="00807076" w:rsidRPr="00807076" w:rsidRDefault="00807076" w:rsidP="00807076">
            <w:pPr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 xml:space="preserve">local street or local distributor street within Central City core; </w:t>
            </w:r>
          </w:p>
          <w:p w14:paraId="20FC7F80" w14:textId="77777777" w:rsidR="00807076" w:rsidRPr="00807076" w:rsidRDefault="00807076" w:rsidP="00807076">
            <w:pPr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 xml:space="preserve">main distributor street within the Central City where access serves 3 or more parking spaces; </w:t>
            </w:r>
          </w:p>
          <w:p w14:paraId="11B410AB" w14:textId="77777777" w:rsidR="00807076" w:rsidRPr="00807076" w:rsidRDefault="00807076" w:rsidP="00807076">
            <w:pPr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 xml:space="preserve">local street outside the Central City core where the vehicle access serves 6+ parking spaces. 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14:paraId="43F02851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1A7116AD" w14:textId="77777777" w:rsidTr="00F3358F">
        <w:tc>
          <w:tcPr>
            <w:tcW w:w="577" w:type="dxa"/>
          </w:tcPr>
          <w:p w14:paraId="2723841E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1890325E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EE8EDDA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78F9BCC0" w14:textId="3F6A5D0F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7.4.3.5 Gradient of parking and loading areas </w:t>
            </w:r>
          </w:p>
          <w:p w14:paraId="1FCB1BFF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Non-residential activities with vehicle access.</w:t>
            </w:r>
          </w:p>
        </w:tc>
        <w:tc>
          <w:tcPr>
            <w:tcW w:w="2815" w:type="dxa"/>
          </w:tcPr>
          <w:p w14:paraId="4DFDBE0F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5F76764C" w14:textId="77777777" w:rsidTr="00F3358F">
        <w:tc>
          <w:tcPr>
            <w:tcW w:w="577" w:type="dxa"/>
          </w:tcPr>
          <w:p w14:paraId="7F7F9A6C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5D542E8C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18AA0E2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3E4AA06B" w14:textId="6E80E6B5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7.4.3.6 Design of parking and loading areas</w:t>
            </w:r>
          </w:p>
          <w:p w14:paraId="4FF90A0E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Lighting - non-residential activities with parking/loading areas used during darkness (excl VA)</w:t>
            </w:r>
          </w:p>
          <w:p w14:paraId="20039095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 xml:space="preserve">Formed, sealed, drained and marked out - any urban activity except residential/VA with less than 3 car parks; sites with access off unsealed road; temporary activities. </w:t>
            </w:r>
          </w:p>
        </w:tc>
        <w:tc>
          <w:tcPr>
            <w:tcW w:w="2815" w:type="dxa"/>
          </w:tcPr>
          <w:p w14:paraId="43CE6145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320CD7E2" w14:textId="77777777" w:rsidTr="00F3358F">
        <w:tblPrEx>
          <w:tblLook w:val="04A0" w:firstRow="1" w:lastRow="0" w:firstColumn="1" w:lastColumn="0" w:noHBand="0" w:noVBand="1"/>
        </w:tblPrEx>
        <w:tc>
          <w:tcPr>
            <w:tcW w:w="577" w:type="dxa"/>
          </w:tcPr>
          <w:p w14:paraId="5EA52078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7FDB73C8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0F5B7D8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0D9A9A6F" w14:textId="621F9AEC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7.4.3.7 Access design</w:t>
            </w:r>
          </w:p>
          <w:p w14:paraId="7F235A4E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Access standards - all activities with vehicle access, Appendix 7.5.7.</w:t>
            </w:r>
          </w:p>
          <w:p w14:paraId="0A4C5534" w14:textId="7DFE0B7D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Pedestrian access – where shared pedestrian access is to 3 or more res units, App 7.5.7 c, d </w:t>
            </w:r>
            <w:r w:rsidRPr="00D1590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NEW</w:t>
            </w:r>
          </w:p>
          <w:p w14:paraId="2D6D70E7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Queue space - 4 or more car parks or residential units, Appendix 7.5.8.</w:t>
            </w:r>
          </w:p>
          <w:p w14:paraId="5A910C8F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Pedestrian warning system or visibility splay Appendix 7.5.9 - access to urban road serving more than 15 car parks or more than 10 HVM per day, and/or on key pedestrian frontage.</w:t>
            </w:r>
          </w:p>
        </w:tc>
        <w:tc>
          <w:tcPr>
            <w:tcW w:w="2815" w:type="dxa"/>
          </w:tcPr>
          <w:p w14:paraId="099B9E19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fldChar w:fldCharType="end"/>
            </w:r>
          </w:p>
        </w:tc>
      </w:tr>
      <w:tr w:rsidR="00807076" w:rsidRPr="00807076" w14:paraId="5351D19C" w14:textId="77777777" w:rsidTr="00F3358F">
        <w:tblPrEx>
          <w:tblLook w:val="04A0" w:firstRow="1" w:lastRow="0" w:firstColumn="1" w:lastColumn="0" w:noHBand="0" w:noVBand="1"/>
        </w:tblPrEx>
        <w:tc>
          <w:tcPr>
            <w:tcW w:w="577" w:type="dxa"/>
          </w:tcPr>
          <w:p w14:paraId="31C2D8C9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1B036F23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DCB5C91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2DAB1220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7.4.3.8(a) Provision of vehicle crossings</w:t>
            </w:r>
          </w:p>
          <w:p w14:paraId="16E31B63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All activities with vehicle access to road or service lane.</w:t>
            </w:r>
          </w:p>
        </w:tc>
        <w:tc>
          <w:tcPr>
            <w:tcW w:w="2815" w:type="dxa"/>
          </w:tcPr>
          <w:p w14:paraId="219E5C90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577E1A5F" w14:textId="77777777" w:rsidTr="00F3358F">
        <w:tblPrEx>
          <w:tblLook w:val="04A0" w:firstRow="1" w:lastRow="0" w:firstColumn="1" w:lastColumn="0" w:noHBand="0" w:noVBand="1"/>
        </w:tblPrEx>
        <w:tc>
          <w:tcPr>
            <w:tcW w:w="577" w:type="dxa"/>
          </w:tcPr>
          <w:p w14:paraId="04E32A96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19E578F6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135E3F40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21AD3179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7.2.3.8 (b) &amp; (c) Design of vehicle crossings</w:t>
            </w:r>
          </w:p>
          <w:p w14:paraId="0C4FC3C8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Arterial road or collector road with speed limit 70km/hr or more, buildings in rural zone, and rural selling places, Appendix 7.5.10</w:t>
            </w:r>
          </w:p>
        </w:tc>
        <w:tc>
          <w:tcPr>
            <w:tcW w:w="2815" w:type="dxa"/>
          </w:tcPr>
          <w:p w14:paraId="6B167472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07076" w:rsidRPr="00807076" w14:paraId="49B37CE4" w14:textId="77777777" w:rsidTr="00F3358F">
        <w:tc>
          <w:tcPr>
            <w:tcW w:w="577" w:type="dxa"/>
          </w:tcPr>
          <w:p w14:paraId="1BC68A27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2AAEB344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B1FFAEB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64E9BA39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7.2.3.8(d) Spacing of vehicle crossings</w:t>
            </w:r>
          </w:p>
          <w:p w14:paraId="759A0707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On roads with speed limit 70 km/hr or more, Appendix 7.5.11 Table 7.5.11.1</w:t>
            </w:r>
          </w:p>
        </w:tc>
        <w:tc>
          <w:tcPr>
            <w:tcW w:w="2815" w:type="dxa"/>
          </w:tcPr>
          <w:p w14:paraId="310C8E15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18B5E979" w14:textId="77777777" w:rsidTr="00F3358F">
        <w:tc>
          <w:tcPr>
            <w:tcW w:w="577" w:type="dxa"/>
          </w:tcPr>
          <w:p w14:paraId="05CB18B0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5B7ED3F4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B962470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3A00ACA3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7.2.3.8(e) Maximum number of vehicle crossings</w:t>
            </w:r>
          </w:p>
          <w:p w14:paraId="46EBBBC9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All activities Appendix 7.5.11</w:t>
            </w:r>
          </w:p>
        </w:tc>
        <w:tc>
          <w:tcPr>
            <w:tcW w:w="2815" w:type="dxa"/>
          </w:tcPr>
          <w:p w14:paraId="5C8FEE4D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7EDE7F65" w14:textId="77777777" w:rsidTr="00F3358F">
        <w:tc>
          <w:tcPr>
            <w:tcW w:w="577" w:type="dxa"/>
          </w:tcPr>
          <w:p w14:paraId="15CA9735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18179456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BA2770A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02BDA5A2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7.2.3.8(f) Distance between vehicle crossings and intersections</w:t>
            </w:r>
          </w:p>
          <w:p w14:paraId="4087FA03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All activities Appendix 7.5.11</w:t>
            </w:r>
          </w:p>
        </w:tc>
        <w:tc>
          <w:tcPr>
            <w:tcW w:w="2815" w:type="dxa"/>
          </w:tcPr>
          <w:p w14:paraId="3B8F2DD8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54701CA9" w14:textId="77777777" w:rsidTr="00F3358F">
        <w:tc>
          <w:tcPr>
            <w:tcW w:w="577" w:type="dxa"/>
          </w:tcPr>
          <w:p w14:paraId="38CA5448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45101B1C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15ECC98E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37FD11E5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7.4.3.9 Location of buildings and access in relation to road/rail level crossings</w:t>
            </w:r>
          </w:p>
          <w:p w14:paraId="02A458B5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 new vehicle crossings within 30m of a rail level crossing limit line unless site boundaries don’t enable compliance. </w:t>
            </w:r>
          </w:p>
          <w:p w14:paraId="75EBDB69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Cs/>
                <w:sz w:val="18"/>
                <w:szCs w:val="18"/>
              </w:rPr>
              <w:t>Buildings close to level crossings without automated warning devices – location as per App 7.5.13.</w:t>
            </w:r>
          </w:p>
        </w:tc>
        <w:tc>
          <w:tcPr>
            <w:tcW w:w="2815" w:type="dxa"/>
          </w:tcPr>
          <w:p w14:paraId="744D4C2C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4311B357" w14:textId="77777777" w:rsidTr="00F3358F">
        <w:trPr>
          <w:trHeight w:val="360"/>
        </w:trPr>
        <w:tc>
          <w:tcPr>
            <w:tcW w:w="577" w:type="dxa"/>
          </w:tcPr>
          <w:p w14:paraId="6C084FCA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15E9F4C4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B5FCAC2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34F26039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7.4.3.10 High trip generators 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refer rule.</w:t>
            </w:r>
          </w:p>
        </w:tc>
        <w:tc>
          <w:tcPr>
            <w:tcW w:w="2815" w:type="dxa"/>
          </w:tcPr>
          <w:p w14:paraId="51624C30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1919EBA5" w14:textId="77777777" w:rsidR="00807076" w:rsidRPr="00807076" w:rsidRDefault="00807076" w:rsidP="00807076">
      <w:pPr>
        <w:rPr>
          <w:rFonts w:asciiTheme="minorHAnsi" w:hAnsiTheme="minorHAnsi" w:cstheme="minorHAnsi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8"/>
        <w:gridCol w:w="508"/>
        <w:gridCol w:w="17"/>
        <w:gridCol w:w="586"/>
        <w:gridCol w:w="5042"/>
        <w:gridCol w:w="3544"/>
      </w:tblGrid>
      <w:tr w:rsidR="00807076" w:rsidRPr="00807076" w14:paraId="36B868A2" w14:textId="77777777" w:rsidTr="00F3358F">
        <w:trPr>
          <w:cantSplit/>
          <w:trHeight w:val="291"/>
          <w:tblHeader/>
        </w:trPr>
        <w:tc>
          <w:tcPr>
            <w:tcW w:w="10348" w:type="dxa"/>
            <w:gridSpan w:val="7"/>
            <w:shd w:val="clear" w:color="auto" w:fill="5C3D1E"/>
          </w:tcPr>
          <w:p w14:paraId="1271E705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807076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GENERAL RULES</w:t>
            </w:r>
          </w:p>
        </w:tc>
      </w:tr>
      <w:tr w:rsidR="00807076" w:rsidRPr="00807076" w14:paraId="045D8FDB" w14:textId="77777777" w:rsidTr="00F3358F">
        <w:trPr>
          <w:cantSplit/>
          <w:trHeight w:val="265"/>
          <w:tblHeader/>
        </w:trPr>
        <w:tc>
          <w:tcPr>
            <w:tcW w:w="1762" w:type="dxa"/>
            <w:gridSpan w:val="5"/>
          </w:tcPr>
          <w:p w14:paraId="5B92E312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Compliance</w:t>
            </w:r>
          </w:p>
        </w:tc>
        <w:tc>
          <w:tcPr>
            <w:tcW w:w="5042" w:type="dxa"/>
            <w:vMerge w:val="restart"/>
            <w:vAlign w:val="center"/>
          </w:tcPr>
          <w:p w14:paraId="2D1E09AC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Rule</w:t>
            </w:r>
          </w:p>
        </w:tc>
        <w:tc>
          <w:tcPr>
            <w:tcW w:w="3544" w:type="dxa"/>
            <w:vMerge w:val="restart"/>
            <w:vAlign w:val="center"/>
          </w:tcPr>
          <w:p w14:paraId="7465E70B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Comments</w:t>
            </w:r>
          </w:p>
        </w:tc>
      </w:tr>
      <w:tr w:rsidR="00807076" w:rsidRPr="00807076" w14:paraId="535F665A" w14:textId="77777777" w:rsidTr="00F3358F">
        <w:trPr>
          <w:cantSplit/>
          <w:trHeight w:val="336"/>
          <w:tblHeader/>
        </w:trPr>
        <w:tc>
          <w:tcPr>
            <w:tcW w:w="651" w:type="dxa"/>
            <w:gridSpan w:val="2"/>
            <w:vAlign w:val="center"/>
          </w:tcPr>
          <w:p w14:paraId="1464659B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Y</w:t>
            </w:r>
          </w:p>
        </w:tc>
        <w:tc>
          <w:tcPr>
            <w:tcW w:w="525" w:type="dxa"/>
            <w:gridSpan w:val="2"/>
            <w:vAlign w:val="center"/>
          </w:tcPr>
          <w:p w14:paraId="6A9AA2C1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</w:p>
        </w:tc>
        <w:tc>
          <w:tcPr>
            <w:tcW w:w="586" w:type="dxa"/>
            <w:vAlign w:val="center"/>
          </w:tcPr>
          <w:p w14:paraId="4962AFD6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N/A</w:t>
            </w:r>
          </w:p>
        </w:tc>
        <w:tc>
          <w:tcPr>
            <w:tcW w:w="5042" w:type="dxa"/>
            <w:vMerge/>
            <w:vAlign w:val="center"/>
          </w:tcPr>
          <w:p w14:paraId="6A0089E5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14:paraId="31B6F846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07076" w:rsidRPr="00807076" w14:paraId="5BA8A20F" w14:textId="77777777" w:rsidTr="00F3358F">
        <w:tc>
          <w:tcPr>
            <w:tcW w:w="10348" w:type="dxa"/>
            <w:gridSpan w:val="7"/>
            <w:shd w:val="clear" w:color="auto" w:fill="E6E6E6"/>
            <w:vAlign w:val="center"/>
          </w:tcPr>
          <w:p w14:paraId="0DE66B22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Natural hazard rules - Chapter 5 DP</w:t>
            </w:r>
          </w:p>
        </w:tc>
      </w:tr>
      <w:tr w:rsidR="00807076" w:rsidRPr="00807076" w14:paraId="19C024F4" w14:textId="77777777" w:rsidTr="00F3358F">
        <w:tc>
          <w:tcPr>
            <w:tcW w:w="643" w:type="dxa"/>
          </w:tcPr>
          <w:p w14:paraId="6F5E07D1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</w:tcPr>
          <w:p w14:paraId="055ECC20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</w:tcPr>
          <w:p w14:paraId="20C98A05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6EC0A39A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Flood hazard rules – Chapter 5.4</w:t>
            </w:r>
          </w:p>
        </w:tc>
        <w:tc>
          <w:tcPr>
            <w:tcW w:w="3544" w:type="dxa"/>
          </w:tcPr>
          <w:p w14:paraId="6F513737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7FFD6709" w14:textId="77777777" w:rsidTr="00F3358F">
        <w:tc>
          <w:tcPr>
            <w:tcW w:w="643" w:type="dxa"/>
          </w:tcPr>
          <w:p w14:paraId="7B5674BC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</w:tcPr>
          <w:p w14:paraId="3EC9572B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</w:tcPr>
          <w:p w14:paraId="4D21E4A9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284E11A5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Liquefaction management rules – Chapter 5.5</w:t>
            </w:r>
          </w:p>
        </w:tc>
        <w:tc>
          <w:tcPr>
            <w:tcW w:w="3544" w:type="dxa"/>
          </w:tcPr>
          <w:p w14:paraId="5607B025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04A94BE8" w14:textId="77777777" w:rsidTr="00F3358F">
        <w:tc>
          <w:tcPr>
            <w:tcW w:w="643" w:type="dxa"/>
          </w:tcPr>
          <w:p w14:paraId="3766BE2E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</w:tcPr>
          <w:p w14:paraId="7B9AB290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</w:tcPr>
          <w:p w14:paraId="78C145EE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29A4B2F9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Slope Instability rules – Chapter 5.6</w:t>
            </w:r>
          </w:p>
        </w:tc>
        <w:tc>
          <w:tcPr>
            <w:tcW w:w="3544" w:type="dxa"/>
          </w:tcPr>
          <w:p w14:paraId="2E72C982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239C4" w:rsidRPr="00807076" w14:paraId="29C1A897" w14:textId="77777777" w:rsidTr="00DC6C44">
        <w:tc>
          <w:tcPr>
            <w:tcW w:w="643" w:type="dxa"/>
          </w:tcPr>
          <w:p w14:paraId="4A4610D6" w14:textId="77777777" w:rsidR="000239C4" w:rsidRPr="00807076" w:rsidRDefault="000239C4" w:rsidP="00DC6C4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</w:tcPr>
          <w:p w14:paraId="7D00CE89" w14:textId="77777777" w:rsidR="000239C4" w:rsidRPr="00807076" w:rsidRDefault="000239C4" w:rsidP="00DC6C4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</w:tcPr>
          <w:p w14:paraId="23005415" w14:textId="77777777" w:rsidR="000239C4" w:rsidRPr="00807076" w:rsidRDefault="000239C4" w:rsidP="00DC6C4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5EA67C46" w14:textId="1F0C0E2A" w:rsidR="000239C4" w:rsidRPr="00807076" w:rsidRDefault="000239C4" w:rsidP="00DC6C4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Coastal Hazard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 xml:space="preserve"> rules – Chapter 5.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4A</w:t>
            </w:r>
          </w:p>
        </w:tc>
        <w:tc>
          <w:tcPr>
            <w:tcW w:w="3544" w:type="dxa"/>
          </w:tcPr>
          <w:p w14:paraId="33FA70AF" w14:textId="77777777" w:rsidR="000239C4" w:rsidRPr="00807076" w:rsidRDefault="000239C4" w:rsidP="00DC6C4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23FDA3E3" w14:textId="77777777" w:rsidTr="00F3358F">
        <w:tc>
          <w:tcPr>
            <w:tcW w:w="10348" w:type="dxa"/>
            <w:gridSpan w:val="7"/>
            <w:shd w:val="clear" w:color="auto" w:fill="E6E6E6"/>
            <w:vAlign w:val="center"/>
          </w:tcPr>
          <w:p w14:paraId="6DD1C84A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Other provisions</w:t>
            </w:r>
          </w:p>
        </w:tc>
      </w:tr>
      <w:tr w:rsidR="00807076" w:rsidRPr="00807076" w14:paraId="22DE1954" w14:textId="77777777" w:rsidTr="00F3358F">
        <w:tc>
          <w:tcPr>
            <w:tcW w:w="651" w:type="dxa"/>
            <w:gridSpan w:val="2"/>
          </w:tcPr>
          <w:p w14:paraId="54850F9C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0FB4ACD7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21576D6E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320DC6B7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Hazardous substances – Chapter 4</w:t>
            </w:r>
          </w:p>
        </w:tc>
        <w:tc>
          <w:tcPr>
            <w:tcW w:w="3544" w:type="dxa"/>
          </w:tcPr>
          <w:p w14:paraId="558D2555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18716D41" w14:textId="77777777" w:rsidTr="00F3358F">
        <w:trPr>
          <w:trHeight w:val="298"/>
        </w:trPr>
        <w:tc>
          <w:tcPr>
            <w:tcW w:w="651" w:type="dxa"/>
            <w:gridSpan w:val="2"/>
          </w:tcPr>
          <w:p w14:paraId="3D7E7120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36C6A8A6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7E40C1D7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155957A2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Noise – Chapter 6.1</w:t>
            </w:r>
          </w:p>
        </w:tc>
        <w:tc>
          <w:tcPr>
            <w:tcW w:w="3544" w:type="dxa"/>
          </w:tcPr>
          <w:p w14:paraId="1F83A584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7E0A40AF" w14:textId="77777777" w:rsidTr="00F3358F">
        <w:trPr>
          <w:trHeight w:val="298"/>
        </w:trPr>
        <w:tc>
          <w:tcPr>
            <w:tcW w:w="651" w:type="dxa"/>
            <w:gridSpan w:val="2"/>
          </w:tcPr>
          <w:p w14:paraId="52792836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0D08720B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180BBBFB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15375790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Outdoor lighting – Chapter 6.3</w:t>
            </w:r>
          </w:p>
        </w:tc>
        <w:tc>
          <w:tcPr>
            <w:tcW w:w="3544" w:type="dxa"/>
          </w:tcPr>
          <w:p w14:paraId="0726FED1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5EA77674" w14:textId="77777777" w:rsidTr="00F3358F">
        <w:tc>
          <w:tcPr>
            <w:tcW w:w="651" w:type="dxa"/>
            <w:gridSpan w:val="2"/>
          </w:tcPr>
          <w:p w14:paraId="6A607295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1118A575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79903F7C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2DE06AEA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Aircraft Protection – Chapter 6.7</w:t>
            </w:r>
          </w:p>
        </w:tc>
        <w:tc>
          <w:tcPr>
            <w:tcW w:w="3544" w:type="dxa"/>
          </w:tcPr>
          <w:p w14:paraId="15725805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04AAB37A" w14:textId="77777777" w:rsidTr="00F3358F">
        <w:tc>
          <w:tcPr>
            <w:tcW w:w="651" w:type="dxa"/>
            <w:gridSpan w:val="2"/>
          </w:tcPr>
          <w:p w14:paraId="59783AA6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746ECB77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59809A47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35AB6DFC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Water Body setbacks Chapter 6.6</w:t>
            </w:r>
          </w:p>
        </w:tc>
        <w:tc>
          <w:tcPr>
            <w:tcW w:w="3544" w:type="dxa"/>
          </w:tcPr>
          <w:p w14:paraId="0CA72E5F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2A62E9C2" w14:textId="77777777" w:rsidTr="00F3358F">
        <w:tc>
          <w:tcPr>
            <w:tcW w:w="651" w:type="dxa"/>
            <w:gridSpan w:val="2"/>
          </w:tcPr>
          <w:p w14:paraId="23B4154E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4EA21DD6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3C5F860A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37A60BAB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Sign rules – Chapter 6.8</w:t>
            </w:r>
          </w:p>
        </w:tc>
        <w:tc>
          <w:tcPr>
            <w:tcW w:w="3544" w:type="dxa"/>
          </w:tcPr>
          <w:p w14:paraId="781A7762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608D171B" w14:textId="77777777" w:rsidTr="00F3358F">
        <w:tc>
          <w:tcPr>
            <w:tcW w:w="651" w:type="dxa"/>
            <w:gridSpan w:val="2"/>
          </w:tcPr>
          <w:p w14:paraId="2FAE7465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52B41404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6170C8AC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3ECF6BEA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Licensed premises/sale of alcohol - Chapter 6.9</w:t>
            </w:r>
          </w:p>
        </w:tc>
        <w:tc>
          <w:tcPr>
            <w:tcW w:w="3544" w:type="dxa"/>
          </w:tcPr>
          <w:p w14:paraId="366BCC65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39A6AA98" w14:textId="77777777" w:rsidTr="00F3358F">
        <w:tc>
          <w:tcPr>
            <w:tcW w:w="651" w:type="dxa"/>
            <w:gridSpan w:val="2"/>
          </w:tcPr>
          <w:p w14:paraId="1FBC4D8A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15F75BBC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4D870267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4F7411B8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Earthworks – Chapter 8.9</w:t>
            </w:r>
          </w:p>
        </w:tc>
        <w:tc>
          <w:tcPr>
            <w:tcW w:w="3544" w:type="dxa"/>
          </w:tcPr>
          <w:p w14:paraId="32D893B1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46BBBFEA" w14:textId="77777777" w:rsidTr="00F3358F">
        <w:tc>
          <w:tcPr>
            <w:tcW w:w="651" w:type="dxa"/>
            <w:gridSpan w:val="2"/>
          </w:tcPr>
          <w:p w14:paraId="49EB5306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63DCE3CC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2C1BE20D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44BBD780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Indigenous biodiversity – Chapter 9.1</w:t>
            </w:r>
          </w:p>
        </w:tc>
        <w:tc>
          <w:tcPr>
            <w:tcW w:w="3544" w:type="dxa"/>
          </w:tcPr>
          <w:p w14:paraId="75472DFA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29DFD7B3" w14:textId="77777777" w:rsidTr="00F3358F">
        <w:tc>
          <w:tcPr>
            <w:tcW w:w="651" w:type="dxa"/>
            <w:gridSpan w:val="2"/>
          </w:tcPr>
          <w:p w14:paraId="2BBE43A8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3D366118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6A37A01F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7306AD42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Landscapes and natural character – Chapter 9.2</w:t>
            </w:r>
          </w:p>
        </w:tc>
        <w:tc>
          <w:tcPr>
            <w:tcW w:w="3544" w:type="dxa"/>
          </w:tcPr>
          <w:p w14:paraId="6231C1AC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492A0B97" w14:textId="77777777" w:rsidTr="00F3358F">
        <w:tc>
          <w:tcPr>
            <w:tcW w:w="651" w:type="dxa"/>
            <w:gridSpan w:val="2"/>
          </w:tcPr>
          <w:p w14:paraId="0B62BD4E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6605138E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6BCC0D98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0E326659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Historic Heritage – Chapter 9.3</w:t>
            </w:r>
          </w:p>
        </w:tc>
        <w:tc>
          <w:tcPr>
            <w:tcW w:w="3544" w:type="dxa"/>
          </w:tcPr>
          <w:p w14:paraId="3E8D2DFD" w14:textId="77777777" w:rsidR="00807076" w:rsidRPr="00807076" w:rsidRDefault="00807076" w:rsidP="00807076">
            <w:pPr>
              <w:rPr>
                <w:rFonts w:asciiTheme="minorHAnsi" w:hAnsiTheme="minorHAnsi" w:cstheme="minorHAnsi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4CC25D84" w14:textId="77777777" w:rsidTr="00F3358F">
        <w:tc>
          <w:tcPr>
            <w:tcW w:w="651" w:type="dxa"/>
            <w:gridSpan w:val="2"/>
          </w:tcPr>
          <w:p w14:paraId="6D0B8109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6D6226A9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69720CEA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57666006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Trees – Chapter 9.4</w:t>
            </w:r>
          </w:p>
        </w:tc>
        <w:tc>
          <w:tcPr>
            <w:tcW w:w="3544" w:type="dxa"/>
          </w:tcPr>
          <w:p w14:paraId="0D7E990E" w14:textId="77777777" w:rsidR="00807076" w:rsidRPr="00807076" w:rsidRDefault="00807076" w:rsidP="00807076">
            <w:pPr>
              <w:rPr>
                <w:rFonts w:asciiTheme="minorHAnsi" w:hAnsiTheme="minorHAnsi" w:cstheme="minorHAnsi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700FDABF" w14:textId="77777777" w:rsidTr="00F3358F">
        <w:tc>
          <w:tcPr>
            <w:tcW w:w="651" w:type="dxa"/>
            <w:gridSpan w:val="2"/>
          </w:tcPr>
          <w:p w14:paraId="578A69F8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741020D6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29C8B877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1459777D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Ngai Tahu values – Chapter 9.5</w:t>
            </w:r>
          </w:p>
        </w:tc>
        <w:tc>
          <w:tcPr>
            <w:tcW w:w="3544" w:type="dxa"/>
          </w:tcPr>
          <w:p w14:paraId="4749AA1C" w14:textId="77777777" w:rsidR="00807076" w:rsidRPr="00807076" w:rsidRDefault="00807076" w:rsidP="008070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78A4100A" w14:textId="77777777" w:rsidTr="00F3358F">
        <w:tc>
          <w:tcPr>
            <w:tcW w:w="651" w:type="dxa"/>
            <w:gridSpan w:val="2"/>
          </w:tcPr>
          <w:p w14:paraId="2B47C4C7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7B54D5A4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0094DC22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69CDB906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Coastal environment – Chapter 9.6</w:t>
            </w:r>
          </w:p>
        </w:tc>
        <w:tc>
          <w:tcPr>
            <w:tcW w:w="3544" w:type="dxa"/>
          </w:tcPr>
          <w:p w14:paraId="14400F9F" w14:textId="77777777" w:rsidR="00807076" w:rsidRPr="00807076" w:rsidRDefault="00807076" w:rsidP="008070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7076" w:rsidRPr="00807076" w14:paraId="5CE06E06" w14:textId="77777777" w:rsidTr="00F3358F">
        <w:tc>
          <w:tcPr>
            <w:tcW w:w="10348" w:type="dxa"/>
            <w:gridSpan w:val="7"/>
            <w:shd w:val="clear" w:color="auto" w:fill="E6E6E6"/>
            <w:vAlign w:val="center"/>
          </w:tcPr>
          <w:p w14:paraId="49084233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t>NES – Managing Contaminants in Soil to Protect Human Health</w:t>
            </w:r>
          </w:p>
        </w:tc>
      </w:tr>
      <w:tr w:rsidR="00807076" w:rsidRPr="00807076" w14:paraId="040BD7BC" w14:textId="77777777" w:rsidTr="00F3358F">
        <w:tc>
          <w:tcPr>
            <w:tcW w:w="651" w:type="dxa"/>
            <w:gridSpan w:val="2"/>
          </w:tcPr>
          <w:p w14:paraId="28E9D1AB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2D1D5FC5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5AEFC974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3C104C85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Applies if site has been used for a HAIL activity, and proposed activity involves disturbance of soil, change of land use, subdivision, removal of fuel storage tank, or soil sampling.</w:t>
            </w:r>
          </w:p>
          <w:p w14:paraId="58545AF0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t>Preliminary Site Investigation may be required.</w:t>
            </w:r>
          </w:p>
        </w:tc>
        <w:tc>
          <w:tcPr>
            <w:tcW w:w="3544" w:type="dxa"/>
          </w:tcPr>
          <w:p w14:paraId="3731941C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555FE771" w14:textId="77777777" w:rsidR="00807076" w:rsidRPr="00807076" w:rsidRDefault="00807076" w:rsidP="00807076">
      <w:pPr>
        <w:rPr>
          <w:rFonts w:asciiTheme="minorHAnsi" w:hAnsiTheme="minorHAnsi" w:cstheme="minorHAnsi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3714"/>
      </w:tblGrid>
      <w:tr w:rsidR="00807076" w:rsidRPr="00807076" w14:paraId="2340FD28" w14:textId="77777777" w:rsidTr="00F3358F">
        <w:trPr>
          <w:cantSplit/>
          <w:trHeight w:val="291"/>
        </w:trPr>
        <w:tc>
          <w:tcPr>
            <w:tcW w:w="6634" w:type="dxa"/>
            <w:shd w:val="clear" w:color="auto" w:fill="000000"/>
          </w:tcPr>
          <w:p w14:paraId="5B3EB0F7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7076">
              <w:rPr>
                <w:rFonts w:asciiTheme="minorHAnsi" w:hAnsiTheme="minorHAnsi" w:cstheme="minorHAnsi"/>
                <w:b/>
                <w:sz w:val="22"/>
                <w:szCs w:val="22"/>
              </w:rPr>
              <w:t>GENERAL COMMENTS:</w:t>
            </w:r>
          </w:p>
        </w:tc>
        <w:tc>
          <w:tcPr>
            <w:tcW w:w="3714" w:type="dxa"/>
            <w:shd w:val="clear" w:color="auto" w:fill="000000"/>
            <w:vAlign w:val="center"/>
          </w:tcPr>
          <w:p w14:paraId="0F17E88C" w14:textId="77777777" w:rsidR="00807076" w:rsidRPr="00807076" w:rsidRDefault="00807076" w:rsidP="0080707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07076" w:rsidRPr="00807076" w14:paraId="03E7BDBC" w14:textId="77777777" w:rsidTr="00F3358F">
        <w:tc>
          <w:tcPr>
            <w:tcW w:w="10348" w:type="dxa"/>
            <w:gridSpan w:val="2"/>
          </w:tcPr>
          <w:p w14:paraId="24E51873" w14:textId="77777777" w:rsidR="00807076" w:rsidRPr="00807076" w:rsidRDefault="00807076" w:rsidP="008070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70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6C66937C" w14:textId="77777777" w:rsidR="00807076" w:rsidRPr="00807076" w:rsidRDefault="00807076" w:rsidP="00807076">
      <w:pPr>
        <w:rPr>
          <w:rFonts w:asciiTheme="minorHAnsi" w:hAnsiTheme="minorHAnsi" w:cstheme="minorHAnsi"/>
          <w:sz w:val="24"/>
        </w:rPr>
        <w:sectPr w:rsidR="00807076" w:rsidRPr="00807076" w:rsidSect="00807076">
          <w:headerReference w:type="default" r:id="rId12"/>
          <w:footerReference w:type="even" r:id="rId13"/>
          <w:footerReference w:type="default" r:id="rId14"/>
          <w:type w:val="continuous"/>
          <w:pgSz w:w="11906" w:h="16838" w:code="9"/>
          <w:pgMar w:top="720" w:right="720" w:bottom="720" w:left="720" w:header="720" w:footer="595" w:gutter="0"/>
          <w:cols w:space="720"/>
          <w:docGrid w:linePitch="272"/>
        </w:sectPr>
      </w:pPr>
    </w:p>
    <w:p w14:paraId="61683BE7" w14:textId="77777777" w:rsidR="00807076" w:rsidRDefault="00807076" w:rsidP="00813BFC">
      <w:pPr>
        <w:pStyle w:val="Title"/>
        <w:jc w:val="left"/>
        <w:rPr>
          <w:rFonts w:ascii="Arial" w:hAnsi="Arial" w:cs="Arial"/>
          <w:sz w:val="16"/>
          <w:szCs w:val="16"/>
        </w:rPr>
      </w:pPr>
    </w:p>
    <w:sectPr w:rsidR="00807076" w:rsidSect="00110762">
      <w:type w:val="continuous"/>
      <w:pgSz w:w="11906" w:h="16838" w:code="9"/>
      <w:pgMar w:top="1304" w:right="907" w:bottom="567" w:left="907" w:header="720" w:footer="59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A9D68" w14:textId="77777777" w:rsidR="00E7497A" w:rsidRDefault="00E7497A">
      <w:r>
        <w:separator/>
      </w:r>
    </w:p>
  </w:endnote>
  <w:endnote w:type="continuationSeparator" w:id="0">
    <w:p w14:paraId="60415E8A" w14:textId="77777777" w:rsidR="00E7497A" w:rsidRDefault="00E7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9AC22" w14:textId="77777777" w:rsidR="00807076" w:rsidRDefault="00807076" w:rsidP="003F66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2F0D710A" w14:textId="77777777" w:rsidR="00807076" w:rsidRDefault="00807076" w:rsidP="003F66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CF631" w14:textId="77777777" w:rsidR="00807076" w:rsidRPr="00807076" w:rsidRDefault="00807076" w:rsidP="00D15905">
    <w:pPr>
      <w:pStyle w:val="Footer"/>
      <w:framePr w:w="781" w:wrap="around" w:vAnchor="text" w:hAnchor="page" w:x="5446" w:y="138"/>
      <w:jc w:val="center"/>
      <w:rPr>
        <w:rStyle w:val="PageNumber"/>
        <w:rFonts w:asciiTheme="minorHAnsi" w:hAnsiTheme="minorHAnsi" w:cstheme="minorHAnsi"/>
        <w:sz w:val="16"/>
        <w:szCs w:val="16"/>
      </w:rPr>
    </w:pPr>
    <w:r w:rsidRPr="00807076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807076">
      <w:rPr>
        <w:rStyle w:val="PageNumber"/>
        <w:rFonts w:asciiTheme="minorHAnsi" w:hAnsiTheme="minorHAnsi" w:cstheme="minorHAnsi"/>
        <w:sz w:val="16"/>
        <w:szCs w:val="16"/>
      </w:rPr>
      <w:instrText xml:space="preserve">PAGE  </w:instrText>
    </w:r>
    <w:r w:rsidRPr="00807076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Pr="00807076">
      <w:rPr>
        <w:rStyle w:val="PageNumber"/>
        <w:rFonts w:asciiTheme="minorHAnsi" w:hAnsiTheme="minorHAnsi" w:cstheme="minorHAnsi"/>
        <w:noProof/>
        <w:sz w:val="16"/>
        <w:szCs w:val="16"/>
      </w:rPr>
      <w:t>1</w:t>
    </w:r>
    <w:r w:rsidRPr="00807076">
      <w:rPr>
        <w:rStyle w:val="PageNumber"/>
        <w:rFonts w:asciiTheme="minorHAnsi" w:hAnsiTheme="minorHAnsi" w:cstheme="minorHAnsi"/>
        <w:sz w:val="16"/>
        <w:szCs w:val="16"/>
      </w:rPr>
      <w:fldChar w:fldCharType="end"/>
    </w:r>
    <w:r w:rsidRPr="00807076">
      <w:rPr>
        <w:rStyle w:val="PageNumber"/>
        <w:rFonts w:asciiTheme="minorHAnsi" w:hAnsiTheme="minorHAnsi" w:cstheme="minorHAnsi"/>
        <w:sz w:val="16"/>
        <w:szCs w:val="16"/>
      </w:rPr>
      <w:t xml:space="preserve"> of </w:t>
    </w:r>
    <w:r w:rsidRPr="00807076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807076">
      <w:rPr>
        <w:rStyle w:val="PageNumber"/>
        <w:rFonts w:asciiTheme="minorHAnsi" w:hAnsiTheme="minorHAnsi" w:cstheme="minorHAnsi"/>
        <w:sz w:val="16"/>
        <w:szCs w:val="16"/>
      </w:rPr>
      <w:instrText xml:space="preserve"> NUMPAGES </w:instrText>
    </w:r>
    <w:r w:rsidRPr="00807076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Pr="00807076">
      <w:rPr>
        <w:rStyle w:val="PageNumber"/>
        <w:rFonts w:asciiTheme="minorHAnsi" w:hAnsiTheme="minorHAnsi" w:cstheme="minorHAnsi"/>
        <w:noProof/>
        <w:sz w:val="16"/>
        <w:szCs w:val="16"/>
      </w:rPr>
      <w:t>9</w:t>
    </w:r>
    <w:r w:rsidRPr="00807076">
      <w:rPr>
        <w:rStyle w:val="PageNumber"/>
        <w:rFonts w:asciiTheme="minorHAnsi" w:hAnsiTheme="minorHAnsi" w:cstheme="minorHAnsi"/>
        <w:sz w:val="16"/>
        <w:szCs w:val="16"/>
      </w:rPr>
      <w:fldChar w:fldCharType="end"/>
    </w:r>
  </w:p>
  <w:p w14:paraId="5B3D9243" w14:textId="7FB68119" w:rsidR="00807076" w:rsidRPr="00920FAF" w:rsidRDefault="00807076" w:rsidP="005A7924">
    <w:pPr>
      <w:pStyle w:val="Footer"/>
      <w:tabs>
        <w:tab w:val="clear" w:pos="4153"/>
        <w:tab w:val="clear" w:pos="8306"/>
      </w:tabs>
      <w:spacing w:before="120"/>
      <w:ind w:left="-142" w:right="-142"/>
      <w:jc w:val="both"/>
      <w:rPr>
        <w:rFonts w:asciiTheme="minorHAnsi" w:hAnsiTheme="minorHAnsi" w:cstheme="minorHAnsi"/>
        <w:sz w:val="16"/>
        <w:szCs w:val="16"/>
        <w:lang w:val="en-NZ"/>
      </w:rPr>
    </w:pPr>
    <w:r w:rsidRPr="00807076">
      <w:rPr>
        <w:rFonts w:asciiTheme="minorHAnsi" w:hAnsiTheme="minorHAnsi" w:cstheme="minorHAnsi"/>
        <w:sz w:val="16"/>
        <w:szCs w:val="16"/>
        <w:lang w:val="en-NZ"/>
      </w:rPr>
      <w:t xml:space="preserve">Updated: </w:t>
    </w:r>
    <w:r w:rsidR="005E0988">
      <w:rPr>
        <w:rFonts w:asciiTheme="minorHAnsi" w:hAnsiTheme="minorHAnsi" w:cstheme="minorHAnsi"/>
        <w:sz w:val="16"/>
        <w:szCs w:val="16"/>
        <w:lang w:val="en-NZ"/>
      </w:rPr>
      <w:t>6.06.2025</w:t>
    </w:r>
    <w:r w:rsidRPr="00807076">
      <w:rPr>
        <w:rFonts w:asciiTheme="minorHAnsi" w:hAnsiTheme="minorHAnsi" w:cstheme="minorHAnsi"/>
        <w:sz w:val="16"/>
        <w:szCs w:val="16"/>
        <w:lang w:val="en-NZ"/>
      </w:rPr>
      <w:tab/>
    </w:r>
    <w:r w:rsidRPr="00807076">
      <w:rPr>
        <w:rFonts w:asciiTheme="minorHAnsi" w:hAnsiTheme="minorHAnsi" w:cstheme="minorHAnsi"/>
        <w:sz w:val="16"/>
        <w:szCs w:val="16"/>
        <w:lang w:val="en-NZ"/>
      </w:rPr>
      <w:tab/>
    </w:r>
    <w:r w:rsidRPr="00807076">
      <w:rPr>
        <w:rFonts w:asciiTheme="minorHAnsi" w:hAnsiTheme="minorHAnsi" w:cstheme="minorHAnsi"/>
        <w:sz w:val="16"/>
        <w:szCs w:val="16"/>
        <w:lang w:val="en-NZ"/>
      </w:rPr>
      <w:tab/>
    </w:r>
    <w:r w:rsidRPr="00807076">
      <w:rPr>
        <w:rFonts w:asciiTheme="minorHAnsi" w:hAnsiTheme="minorHAnsi" w:cstheme="minorHAnsi"/>
        <w:sz w:val="16"/>
        <w:szCs w:val="16"/>
        <w:lang w:val="en-NZ"/>
      </w:rPr>
      <w:tab/>
    </w:r>
    <w:r w:rsidRPr="00807076">
      <w:rPr>
        <w:rFonts w:asciiTheme="minorHAnsi" w:hAnsiTheme="minorHAnsi" w:cstheme="minorHAnsi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 w:rsidR="00A26E1B"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 w:rsidRPr="00920FAF">
      <w:rPr>
        <w:rFonts w:asciiTheme="minorHAnsi" w:hAnsiTheme="minorHAnsi" w:cstheme="minorHAnsi"/>
        <w:b/>
        <w:sz w:val="16"/>
        <w:szCs w:val="16"/>
        <w:lang w:val="en-NZ"/>
      </w:rPr>
      <w:t>P-12</w:t>
    </w:r>
    <w:r w:rsidR="00A26E1B">
      <w:rPr>
        <w:rFonts w:asciiTheme="minorHAnsi" w:hAnsiTheme="minorHAnsi" w:cstheme="minorHAnsi"/>
        <w:b/>
        <w:sz w:val="16"/>
        <w:szCs w:val="16"/>
        <w:lang w:val="en-NZ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0B94D" w14:textId="77777777" w:rsidR="00E7497A" w:rsidRDefault="00E7497A">
      <w:r>
        <w:separator/>
      </w:r>
    </w:p>
  </w:footnote>
  <w:footnote w:type="continuationSeparator" w:id="0">
    <w:p w14:paraId="234460A2" w14:textId="77777777" w:rsidR="00E7497A" w:rsidRDefault="00E74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F44C7" w14:textId="77777777" w:rsidR="00807076" w:rsidRPr="00114E10" w:rsidRDefault="00807076" w:rsidP="003F6606">
    <w:pPr>
      <w:pStyle w:val="Title"/>
      <w:jc w:val="left"/>
      <w:rPr>
        <w:rFonts w:asciiTheme="minorHAnsi" w:hAnsiTheme="minorHAnsi" w:cstheme="minorHAnsi"/>
        <w:b w:val="0"/>
        <w:sz w:val="24"/>
        <w:szCs w:val="24"/>
      </w:rPr>
    </w:pPr>
    <w:r w:rsidRPr="00114E10">
      <w:rPr>
        <w:rFonts w:asciiTheme="minorHAnsi" w:hAnsiTheme="minorHAnsi" w:cstheme="minorHAnsi"/>
        <w:b w:val="0"/>
        <w:sz w:val="24"/>
        <w:szCs w:val="24"/>
      </w:rPr>
      <w:t xml:space="preserve">District Plan Checksheet - Chapter 15 </w:t>
    </w:r>
  </w:p>
  <w:p w14:paraId="69DE4455" w14:textId="77777777" w:rsidR="00807076" w:rsidRDefault="00807076" w:rsidP="00CA5BA3">
    <w:pPr>
      <w:pStyle w:val="Title"/>
      <w:tabs>
        <w:tab w:val="left" w:pos="0"/>
        <w:tab w:val="left" w:leader="underscore" w:pos="10466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357B"/>
    <w:multiLevelType w:val="hybridMultilevel"/>
    <w:tmpl w:val="EB5E3C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C14CF"/>
    <w:multiLevelType w:val="hybridMultilevel"/>
    <w:tmpl w:val="DF30D8C6"/>
    <w:lvl w:ilvl="0" w:tplc="79FE79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F5232"/>
    <w:multiLevelType w:val="hybridMultilevel"/>
    <w:tmpl w:val="35CEAD44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F434F"/>
    <w:multiLevelType w:val="hybridMultilevel"/>
    <w:tmpl w:val="F7D8A166"/>
    <w:lvl w:ilvl="0" w:tplc="F1A4C208">
      <w:start w:val="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CB8155D"/>
    <w:multiLevelType w:val="hybridMultilevel"/>
    <w:tmpl w:val="EA3CAB7C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7415D"/>
    <w:multiLevelType w:val="hybridMultilevel"/>
    <w:tmpl w:val="948E854E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109FC"/>
    <w:multiLevelType w:val="hybridMultilevel"/>
    <w:tmpl w:val="66286D58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D51A8"/>
    <w:multiLevelType w:val="hybridMultilevel"/>
    <w:tmpl w:val="B448C256"/>
    <w:lvl w:ilvl="0" w:tplc="A5900580">
      <w:numFmt w:val="bullet"/>
      <w:lvlText w:val="–"/>
      <w:lvlJc w:val="left"/>
      <w:pPr>
        <w:ind w:left="44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178E5EB5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66472"/>
    <w:multiLevelType w:val="hybridMultilevel"/>
    <w:tmpl w:val="68AADE80"/>
    <w:lvl w:ilvl="0" w:tplc="F5AC8F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668F4"/>
    <w:multiLevelType w:val="hybridMultilevel"/>
    <w:tmpl w:val="4D0E75F4"/>
    <w:lvl w:ilvl="0" w:tplc="A5900580">
      <w:numFmt w:val="bullet"/>
      <w:lvlText w:val="–"/>
      <w:lvlJc w:val="left"/>
      <w:pPr>
        <w:ind w:left="40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 w15:restartNumberingAfterBreak="0">
    <w:nsid w:val="26B93468"/>
    <w:multiLevelType w:val="hybridMultilevel"/>
    <w:tmpl w:val="34ECC5BC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5615A"/>
    <w:multiLevelType w:val="hybridMultilevel"/>
    <w:tmpl w:val="FD0C3C3C"/>
    <w:lvl w:ilvl="0" w:tplc="F5AC8F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D6C43"/>
    <w:multiLevelType w:val="hybridMultilevel"/>
    <w:tmpl w:val="4528889C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D1877"/>
    <w:multiLevelType w:val="hybridMultilevel"/>
    <w:tmpl w:val="7624A234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12ED5"/>
    <w:multiLevelType w:val="hybridMultilevel"/>
    <w:tmpl w:val="9674843E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032EA"/>
    <w:multiLevelType w:val="hybridMultilevel"/>
    <w:tmpl w:val="71B212A6"/>
    <w:lvl w:ilvl="0" w:tplc="89FE6F5C">
      <w:start w:val="1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7F5BD2"/>
    <w:multiLevelType w:val="hybridMultilevel"/>
    <w:tmpl w:val="AFC2324E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F9E"/>
    <w:multiLevelType w:val="hybridMultilevel"/>
    <w:tmpl w:val="551C8FC8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13C1F"/>
    <w:multiLevelType w:val="hybridMultilevel"/>
    <w:tmpl w:val="3D58EDC8"/>
    <w:lvl w:ilvl="0" w:tplc="F5AC8F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7256C"/>
    <w:multiLevelType w:val="hybridMultilevel"/>
    <w:tmpl w:val="92625DF8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945B1"/>
    <w:multiLevelType w:val="hybridMultilevel"/>
    <w:tmpl w:val="6DE21590"/>
    <w:lvl w:ilvl="0" w:tplc="D45698C0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67F41"/>
    <w:multiLevelType w:val="hybridMultilevel"/>
    <w:tmpl w:val="848A3D34"/>
    <w:lvl w:ilvl="0" w:tplc="F5AC8F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D6B18"/>
    <w:multiLevelType w:val="hybridMultilevel"/>
    <w:tmpl w:val="87D8D220"/>
    <w:lvl w:ilvl="0" w:tplc="F1A4C20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8D268A"/>
    <w:multiLevelType w:val="hybridMultilevel"/>
    <w:tmpl w:val="5328A312"/>
    <w:lvl w:ilvl="0" w:tplc="F1A4C208">
      <w:start w:val="2"/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5" w15:restartNumberingAfterBreak="0">
    <w:nsid w:val="56F70EC9"/>
    <w:multiLevelType w:val="hybridMultilevel"/>
    <w:tmpl w:val="EAD0D432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B68FD"/>
    <w:multiLevelType w:val="hybridMultilevel"/>
    <w:tmpl w:val="F0DA9EFE"/>
    <w:lvl w:ilvl="0" w:tplc="79FE79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369E5"/>
    <w:multiLevelType w:val="hybridMultilevel"/>
    <w:tmpl w:val="96DCF0C0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63499"/>
    <w:multiLevelType w:val="hybridMultilevel"/>
    <w:tmpl w:val="35B834D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0F79A9"/>
    <w:multiLevelType w:val="hybridMultilevel"/>
    <w:tmpl w:val="54F222CE"/>
    <w:lvl w:ilvl="0" w:tplc="79FE79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526E1"/>
    <w:multiLevelType w:val="hybridMultilevel"/>
    <w:tmpl w:val="A236898E"/>
    <w:lvl w:ilvl="0" w:tplc="F5AC8F98">
      <w:start w:val="2"/>
      <w:numFmt w:val="bullet"/>
      <w:lvlText w:val="-"/>
      <w:lvlJc w:val="left"/>
      <w:pPr>
        <w:ind w:left="763" w:hanging="360"/>
      </w:pPr>
      <w:rPr>
        <w:rFonts w:ascii="Arial" w:eastAsia="Times New Roman" w:hAnsi="Arial" w:hint="default"/>
      </w:rPr>
    </w:lvl>
    <w:lvl w:ilvl="1" w:tplc="1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1" w15:restartNumberingAfterBreak="0">
    <w:nsid w:val="774D2742"/>
    <w:multiLevelType w:val="hybridMultilevel"/>
    <w:tmpl w:val="0EFC3850"/>
    <w:lvl w:ilvl="0" w:tplc="79FE79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56E4E"/>
    <w:multiLevelType w:val="hybridMultilevel"/>
    <w:tmpl w:val="0F720362"/>
    <w:lvl w:ilvl="0" w:tplc="89FE6F5C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0F3CDF"/>
    <w:multiLevelType w:val="hybridMultilevel"/>
    <w:tmpl w:val="CC6E3844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683855">
    <w:abstractNumId w:val="17"/>
  </w:num>
  <w:num w:numId="2" w16cid:durableId="1868981293">
    <w:abstractNumId w:val="27"/>
  </w:num>
  <w:num w:numId="3" w16cid:durableId="1526484695">
    <w:abstractNumId w:val="4"/>
  </w:num>
  <w:num w:numId="4" w16cid:durableId="2075396609">
    <w:abstractNumId w:val="2"/>
  </w:num>
  <w:num w:numId="5" w16cid:durableId="1644432689">
    <w:abstractNumId w:val="23"/>
  </w:num>
  <w:num w:numId="6" w16cid:durableId="1374035982">
    <w:abstractNumId w:val="30"/>
  </w:num>
  <w:num w:numId="7" w16cid:durableId="908923512">
    <w:abstractNumId w:val="26"/>
  </w:num>
  <w:num w:numId="8" w16cid:durableId="62336230">
    <w:abstractNumId w:val="12"/>
  </w:num>
  <w:num w:numId="9" w16cid:durableId="1462531406">
    <w:abstractNumId w:val="33"/>
  </w:num>
  <w:num w:numId="10" w16cid:durableId="1383168182">
    <w:abstractNumId w:val="13"/>
  </w:num>
  <w:num w:numId="11" w16cid:durableId="1809932054">
    <w:abstractNumId w:val="3"/>
  </w:num>
  <w:num w:numId="12" w16cid:durableId="1809278141">
    <w:abstractNumId w:val="1"/>
  </w:num>
  <w:num w:numId="13" w16cid:durableId="1809082789">
    <w:abstractNumId w:val="15"/>
  </w:num>
  <w:num w:numId="14" w16cid:durableId="273174101">
    <w:abstractNumId w:val="18"/>
  </w:num>
  <w:num w:numId="15" w16cid:durableId="826046146">
    <w:abstractNumId w:val="22"/>
  </w:num>
  <w:num w:numId="16" w16cid:durableId="999894807">
    <w:abstractNumId w:val="19"/>
  </w:num>
  <w:num w:numId="17" w16cid:durableId="1484931353">
    <w:abstractNumId w:val="9"/>
  </w:num>
  <w:num w:numId="18" w16cid:durableId="48960967">
    <w:abstractNumId w:val="14"/>
  </w:num>
  <w:num w:numId="19" w16cid:durableId="981428247">
    <w:abstractNumId w:val="32"/>
  </w:num>
  <w:num w:numId="20" w16cid:durableId="759720756">
    <w:abstractNumId w:val="8"/>
  </w:num>
  <w:num w:numId="21" w16cid:durableId="1226181256">
    <w:abstractNumId w:val="28"/>
  </w:num>
  <w:num w:numId="22" w16cid:durableId="299042291">
    <w:abstractNumId w:val="21"/>
  </w:num>
  <w:num w:numId="23" w16cid:durableId="131749684">
    <w:abstractNumId w:val="16"/>
  </w:num>
  <w:num w:numId="24" w16cid:durableId="587160160">
    <w:abstractNumId w:val="24"/>
  </w:num>
  <w:num w:numId="25" w16cid:durableId="197011917">
    <w:abstractNumId w:val="10"/>
  </w:num>
  <w:num w:numId="26" w16cid:durableId="1175191945">
    <w:abstractNumId w:val="7"/>
  </w:num>
  <w:num w:numId="27" w16cid:durableId="630088307">
    <w:abstractNumId w:val="11"/>
  </w:num>
  <w:num w:numId="28" w16cid:durableId="1083070049">
    <w:abstractNumId w:val="31"/>
  </w:num>
  <w:num w:numId="29" w16cid:durableId="449513484">
    <w:abstractNumId w:val="29"/>
  </w:num>
  <w:num w:numId="30" w16cid:durableId="993489540">
    <w:abstractNumId w:val="0"/>
  </w:num>
  <w:num w:numId="31" w16cid:durableId="1028220031">
    <w:abstractNumId w:val="6"/>
  </w:num>
  <w:num w:numId="32" w16cid:durableId="1321958079">
    <w:abstractNumId w:val="25"/>
  </w:num>
  <w:num w:numId="33" w16cid:durableId="416286703">
    <w:abstractNumId w:val="5"/>
  </w:num>
  <w:num w:numId="34" w16cid:durableId="627779101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298"/>
    <w:rsid w:val="00000331"/>
    <w:rsid w:val="00004C9A"/>
    <w:rsid w:val="0000690A"/>
    <w:rsid w:val="00007425"/>
    <w:rsid w:val="00012BC6"/>
    <w:rsid w:val="0001348B"/>
    <w:rsid w:val="00015B14"/>
    <w:rsid w:val="000239C4"/>
    <w:rsid w:val="0002437F"/>
    <w:rsid w:val="00024836"/>
    <w:rsid w:val="00033E33"/>
    <w:rsid w:val="000342A2"/>
    <w:rsid w:val="0003648A"/>
    <w:rsid w:val="00040853"/>
    <w:rsid w:val="00044027"/>
    <w:rsid w:val="0004533E"/>
    <w:rsid w:val="00054D6D"/>
    <w:rsid w:val="000604A6"/>
    <w:rsid w:val="00071B4E"/>
    <w:rsid w:val="00075735"/>
    <w:rsid w:val="00075D48"/>
    <w:rsid w:val="000800A6"/>
    <w:rsid w:val="0008377C"/>
    <w:rsid w:val="00090F17"/>
    <w:rsid w:val="000A26F1"/>
    <w:rsid w:val="000A4358"/>
    <w:rsid w:val="000A5E19"/>
    <w:rsid w:val="000A6022"/>
    <w:rsid w:val="000B0F2C"/>
    <w:rsid w:val="000B4376"/>
    <w:rsid w:val="000C4A42"/>
    <w:rsid w:val="000D1BE5"/>
    <w:rsid w:val="000D44D0"/>
    <w:rsid w:val="000E0402"/>
    <w:rsid w:val="000E11C7"/>
    <w:rsid w:val="000E16F1"/>
    <w:rsid w:val="000E5B0C"/>
    <w:rsid w:val="000E63DE"/>
    <w:rsid w:val="000F04F8"/>
    <w:rsid w:val="000F2DDC"/>
    <w:rsid w:val="000F3B84"/>
    <w:rsid w:val="000F3F1D"/>
    <w:rsid w:val="00102C34"/>
    <w:rsid w:val="001031CC"/>
    <w:rsid w:val="00104CFD"/>
    <w:rsid w:val="0010585E"/>
    <w:rsid w:val="00106BFA"/>
    <w:rsid w:val="00110762"/>
    <w:rsid w:val="001157D9"/>
    <w:rsid w:val="00120289"/>
    <w:rsid w:val="00120A0E"/>
    <w:rsid w:val="00122067"/>
    <w:rsid w:val="0012297F"/>
    <w:rsid w:val="00124455"/>
    <w:rsid w:val="00124877"/>
    <w:rsid w:val="00127BEF"/>
    <w:rsid w:val="0013098E"/>
    <w:rsid w:val="00131B20"/>
    <w:rsid w:val="00145864"/>
    <w:rsid w:val="001551D4"/>
    <w:rsid w:val="00156B7B"/>
    <w:rsid w:val="00171CAF"/>
    <w:rsid w:val="00181A2E"/>
    <w:rsid w:val="00183F30"/>
    <w:rsid w:val="00187213"/>
    <w:rsid w:val="0019293B"/>
    <w:rsid w:val="0019781C"/>
    <w:rsid w:val="001A1B50"/>
    <w:rsid w:val="001A1C27"/>
    <w:rsid w:val="001A35D4"/>
    <w:rsid w:val="001B0374"/>
    <w:rsid w:val="001B46D3"/>
    <w:rsid w:val="001C12E6"/>
    <w:rsid w:val="001C7B0E"/>
    <w:rsid w:val="001D1CF1"/>
    <w:rsid w:val="001E02F2"/>
    <w:rsid w:val="001E0325"/>
    <w:rsid w:val="001E0B6C"/>
    <w:rsid w:val="001E4BCF"/>
    <w:rsid w:val="001F6147"/>
    <w:rsid w:val="001F77A2"/>
    <w:rsid w:val="002034C9"/>
    <w:rsid w:val="002077CA"/>
    <w:rsid w:val="0021004F"/>
    <w:rsid w:val="00211BA7"/>
    <w:rsid w:val="002127C7"/>
    <w:rsid w:val="00217869"/>
    <w:rsid w:val="00217F54"/>
    <w:rsid w:val="002235E8"/>
    <w:rsid w:val="002266B4"/>
    <w:rsid w:val="00227937"/>
    <w:rsid w:val="00227AD1"/>
    <w:rsid w:val="00232899"/>
    <w:rsid w:val="0023430A"/>
    <w:rsid w:val="00237D1F"/>
    <w:rsid w:val="00237D41"/>
    <w:rsid w:val="00252A68"/>
    <w:rsid w:val="00262E2C"/>
    <w:rsid w:val="00267B64"/>
    <w:rsid w:val="00267E22"/>
    <w:rsid w:val="0028005C"/>
    <w:rsid w:val="00280FB6"/>
    <w:rsid w:val="00282924"/>
    <w:rsid w:val="0028660F"/>
    <w:rsid w:val="00286F28"/>
    <w:rsid w:val="00295AD5"/>
    <w:rsid w:val="00297E64"/>
    <w:rsid w:val="002A083F"/>
    <w:rsid w:val="002A2F94"/>
    <w:rsid w:val="002A41DA"/>
    <w:rsid w:val="002B2890"/>
    <w:rsid w:val="002B34BB"/>
    <w:rsid w:val="002B376D"/>
    <w:rsid w:val="002B5095"/>
    <w:rsid w:val="002B598E"/>
    <w:rsid w:val="002B6F6A"/>
    <w:rsid w:val="002C3A58"/>
    <w:rsid w:val="002C62F0"/>
    <w:rsid w:val="002C6472"/>
    <w:rsid w:val="002C68AC"/>
    <w:rsid w:val="002D133E"/>
    <w:rsid w:val="002D1831"/>
    <w:rsid w:val="002D2A43"/>
    <w:rsid w:val="002D6D24"/>
    <w:rsid w:val="002D7048"/>
    <w:rsid w:val="002D7D09"/>
    <w:rsid w:val="002E1D72"/>
    <w:rsid w:val="002E298E"/>
    <w:rsid w:val="002F0948"/>
    <w:rsid w:val="003032EE"/>
    <w:rsid w:val="003158C3"/>
    <w:rsid w:val="0031715C"/>
    <w:rsid w:val="003263C3"/>
    <w:rsid w:val="00331254"/>
    <w:rsid w:val="00341159"/>
    <w:rsid w:val="003431D4"/>
    <w:rsid w:val="00344920"/>
    <w:rsid w:val="0035206E"/>
    <w:rsid w:val="00360626"/>
    <w:rsid w:val="003647BA"/>
    <w:rsid w:val="00371647"/>
    <w:rsid w:val="003720D8"/>
    <w:rsid w:val="0037241A"/>
    <w:rsid w:val="00372A93"/>
    <w:rsid w:val="00382843"/>
    <w:rsid w:val="00383037"/>
    <w:rsid w:val="00386776"/>
    <w:rsid w:val="003931AF"/>
    <w:rsid w:val="003934AD"/>
    <w:rsid w:val="00394D04"/>
    <w:rsid w:val="003A0399"/>
    <w:rsid w:val="003A25FB"/>
    <w:rsid w:val="003A4C14"/>
    <w:rsid w:val="003A4EEE"/>
    <w:rsid w:val="003B1FC2"/>
    <w:rsid w:val="003B4983"/>
    <w:rsid w:val="003B5C7B"/>
    <w:rsid w:val="003B5EEB"/>
    <w:rsid w:val="003C1E94"/>
    <w:rsid w:val="003C6CC6"/>
    <w:rsid w:val="003E1B76"/>
    <w:rsid w:val="003E5428"/>
    <w:rsid w:val="003F01A5"/>
    <w:rsid w:val="003F6D30"/>
    <w:rsid w:val="00401B1B"/>
    <w:rsid w:val="004068BD"/>
    <w:rsid w:val="00414777"/>
    <w:rsid w:val="00427934"/>
    <w:rsid w:val="004304B0"/>
    <w:rsid w:val="00430BB2"/>
    <w:rsid w:val="004331C9"/>
    <w:rsid w:val="00442E03"/>
    <w:rsid w:val="00444565"/>
    <w:rsid w:val="004467E8"/>
    <w:rsid w:val="00447558"/>
    <w:rsid w:val="00450665"/>
    <w:rsid w:val="00457AE4"/>
    <w:rsid w:val="00457F82"/>
    <w:rsid w:val="004623B3"/>
    <w:rsid w:val="00484A46"/>
    <w:rsid w:val="00484FFB"/>
    <w:rsid w:val="0049069C"/>
    <w:rsid w:val="0049294E"/>
    <w:rsid w:val="00495C40"/>
    <w:rsid w:val="00496EB0"/>
    <w:rsid w:val="004A087E"/>
    <w:rsid w:val="004A5393"/>
    <w:rsid w:val="004B0DD0"/>
    <w:rsid w:val="004B1B6C"/>
    <w:rsid w:val="004B2B5B"/>
    <w:rsid w:val="004B2D6E"/>
    <w:rsid w:val="004B4511"/>
    <w:rsid w:val="004C1EDB"/>
    <w:rsid w:val="004C52D2"/>
    <w:rsid w:val="004C76A5"/>
    <w:rsid w:val="004D0875"/>
    <w:rsid w:val="004D266E"/>
    <w:rsid w:val="004D33D5"/>
    <w:rsid w:val="004D5FA5"/>
    <w:rsid w:val="004E0D1E"/>
    <w:rsid w:val="004E201E"/>
    <w:rsid w:val="004E2BE5"/>
    <w:rsid w:val="004E4F07"/>
    <w:rsid w:val="004F3068"/>
    <w:rsid w:val="004F7E0A"/>
    <w:rsid w:val="0050220A"/>
    <w:rsid w:val="005076E5"/>
    <w:rsid w:val="005153DF"/>
    <w:rsid w:val="00515CCF"/>
    <w:rsid w:val="00516AEA"/>
    <w:rsid w:val="0052778D"/>
    <w:rsid w:val="005408F2"/>
    <w:rsid w:val="005425C5"/>
    <w:rsid w:val="00546F1F"/>
    <w:rsid w:val="005561A8"/>
    <w:rsid w:val="00560CB1"/>
    <w:rsid w:val="00561830"/>
    <w:rsid w:val="00565AE1"/>
    <w:rsid w:val="00565F9D"/>
    <w:rsid w:val="005662E4"/>
    <w:rsid w:val="005675FC"/>
    <w:rsid w:val="00567E6F"/>
    <w:rsid w:val="0057159F"/>
    <w:rsid w:val="00583460"/>
    <w:rsid w:val="00584C2B"/>
    <w:rsid w:val="00591542"/>
    <w:rsid w:val="005945E2"/>
    <w:rsid w:val="00596A7D"/>
    <w:rsid w:val="0059710D"/>
    <w:rsid w:val="005A37EF"/>
    <w:rsid w:val="005A519B"/>
    <w:rsid w:val="005B1644"/>
    <w:rsid w:val="005B406D"/>
    <w:rsid w:val="005C1CE6"/>
    <w:rsid w:val="005C4C06"/>
    <w:rsid w:val="005C4C28"/>
    <w:rsid w:val="005C7577"/>
    <w:rsid w:val="005E0988"/>
    <w:rsid w:val="005F03E6"/>
    <w:rsid w:val="005F0D1E"/>
    <w:rsid w:val="005F2798"/>
    <w:rsid w:val="00601712"/>
    <w:rsid w:val="00605AF1"/>
    <w:rsid w:val="0060724D"/>
    <w:rsid w:val="00611199"/>
    <w:rsid w:val="00612051"/>
    <w:rsid w:val="00612DCF"/>
    <w:rsid w:val="00615F5A"/>
    <w:rsid w:val="00627E5F"/>
    <w:rsid w:val="0063051F"/>
    <w:rsid w:val="00636A8F"/>
    <w:rsid w:val="00642D8A"/>
    <w:rsid w:val="00651EC9"/>
    <w:rsid w:val="00652366"/>
    <w:rsid w:val="00654518"/>
    <w:rsid w:val="00656D89"/>
    <w:rsid w:val="006612C9"/>
    <w:rsid w:val="00662BFB"/>
    <w:rsid w:val="00667D6C"/>
    <w:rsid w:val="0067149B"/>
    <w:rsid w:val="0067690B"/>
    <w:rsid w:val="00682169"/>
    <w:rsid w:val="006866AE"/>
    <w:rsid w:val="006904C7"/>
    <w:rsid w:val="006905AD"/>
    <w:rsid w:val="006963BC"/>
    <w:rsid w:val="00697400"/>
    <w:rsid w:val="006979B1"/>
    <w:rsid w:val="006A0522"/>
    <w:rsid w:val="006A0614"/>
    <w:rsid w:val="006A63C0"/>
    <w:rsid w:val="006B076D"/>
    <w:rsid w:val="006B3A66"/>
    <w:rsid w:val="006B4408"/>
    <w:rsid w:val="006B63D2"/>
    <w:rsid w:val="006B6FA4"/>
    <w:rsid w:val="006C0051"/>
    <w:rsid w:val="006D1223"/>
    <w:rsid w:val="006D5EF7"/>
    <w:rsid w:val="006D61BA"/>
    <w:rsid w:val="006E0EB1"/>
    <w:rsid w:val="006E357F"/>
    <w:rsid w:val="006E36B5"/>
    <w:rsid w:val="006F1CC4"/>
    <w:rsid w:val="006F4D83"/>
    <w:rsid w:val="006F5AB1"/>
    <w:rsid w:val="006F6FC3"/>
    <w:rsid w:val="00701F6C"/>
    <w:rsid w:val="0070236D"/>
    <w:rsid w:val="007059F6"/>
    <w:rsid w:val="0070682F"/>
    <w:rsid w:val="00707A4B"/>
    <w:rsid w:val="00715089"/>
    <w:rsid w:val="007173AB"/>
    <w:rsid w:val="0072081A"/>
    <w:rsid w:val="0072532E"/>
    <w:rsid w:val="0072684C"/>
    <w:rsid w:val="0072749E"/>
    <w:rsid w:val="00734B47"/>
    <w:rsid w:val="00734EFD"/>
    <w:rsid w:val="00736DE9"/>
    <w:rsid w:val="007465D1"/>
    <w:rsid w:val="007510C7"/>
    <w:rsid w:val="00754CF2"/>
    <w:rsid w:val="00760E4A"/>
    <w:rsid w:val="00761F0D"/>
    <w:rsid w:val="00766F83"/>
    <w:rsid w:val="00767157"/>
    <w:rsid w:val="00771495"/>
    <w:rsid w:val="00772AFE"/>
    <w:rsid w:val="00776725"/>
    <w:rsid w:val="007854D1"/>
    <w:rsid w:val="007876D5"/>
    <w:rsid w:val="00796408"/>
    <w:rsid w:val="007A0648"/>
    <w:rsid w:val="007A5E2C"/>
    <w:rsid w:val="007B07B6"/>
    <w:rsid w:val="007B09D3"/>
    <w:rsid w:val="007B15CC"/>
    <w:rsid w:val="007B58D1"/>
    <w:rsid w:val="007B5CB3"/>
    <w:rsid w:val="007C1432"/>
    <w:rsid w:val="007C5C60"/>
    <w:rsid w:val="007D001D"/>
    <w:rsid w:val="007D6581"/>
    <w:rsid w:val="007E40D1"/>
    <w:rsid w:val="00800D4A"/>
    <w:rsid w:val="00807076"/>
    <w:rsid w:val="00807730"/>
    <w:rsid w:val="0081111F"/>
    <w:rsid w:val="00811F2F"/>
    <w:rsid w:val="00813BFC"/>
    <w:rsid w:val="00814736"/>
    <w:rsid w:val="0081555B"/>
    <w:rsid w:val="008303EF"/>
    <w:rsid w:val="0083153B"/>
    <w:rsid w:val="00832C51"/>
    <w:rsid w:val="00833566"/>
    <w:rsid w:val="0083675A"/>
    <w:rsid w:val="00836B96"/>
    <w:rsid w:val="00844118"/>
    <w:rsid w:val="00845F27"/>
    <w:rsid w:val="0084671D"/>
    <w:rsid w:val="00846D49"/>
    <w:rsid w:val="00850289"/>
    <w:rsid w:val="00850E1F"/>
    <w:rsid w:val="00860103"/>
    <w:rsid w:val="00863750"/>
    <w:rsid w:val="00865690"/>
    <w:rsid w:val="008662ED"/>
    <w:rsid w:val="0086748E"/>
    <w:rsid w:val="00871A69"/>
    <w:rsid w:val="00871DCA"/>
    <w:rsid w:val="00873037"/>
    <w:rsid w:val="0087362A"/>
    <w:rsid w:val="0088079C"/>
    <w:rsid w:val="008813ED"/>
    <w:rsid w:val="008871E0"/>
    <w:rsid w:val="008902B3"/>
    <w:rsid w:val="00894551"/>
    <w:rsid w:val="00894C21"/>
    <w:rsid w:val="00896D40"/>
    <w:rsid w:val="008A2141"/>
    <w:rsid w:val="008A3687"/>
    <w:rsid w:val="008A5999"/>
    <w:rsid w:val="008A624B"/>
    <w:rsid w:val="008B0D42"/>
    <w:rsid w:val="008B6478"/>
    <w:rsid w:val="008C5638"/>
    <w:rsid w:val="008C63CD"/>
    <w:rsid w:val="008D3CB2"/>
    <w:rsid w:val="008D5354"/>
    <w:rsid w:val="008D68A2"/>
    <w:rsid w:val="008D7309"/>
    <w:rsid w:val="008E01C1"/>
    <w:rsid w:val="008E057A"/>
    <w:rsid w:val="008F6CD3"/>
    <w:rsid w:val="00902286"/>
    <w:rsid w:val="0090234E"/>
    <w:rsid w:val="00905FB3"/>
    <w:rsid w:val="009110F3"/>
    <w:rsid w:val="00915BE6"/>
    <w:rsid w:val="00916EA7"/>
    <w:rsid w:val="00917122"/>
    <w:rsid w:val="009233A2"/>
    <w:rsid w:val="009242A0"/>
    <w:rsid w:val="0092512B"/>
    <w:rsid w:val="00927224"/>
    <w:rsid w:val="00931D53"/>
    <w:rsid w:val="00932D1B"/>
    <w:rsid w:val="009335B2"/>
    <w:rsid w:val="00940373"/>
    <w:rsid w:val="00942054"/>
    <w:rsid w:val="00943200"/>
    <w:rsid w:val="009511EF"/>
    <w:rsid w:val="0095226A"/>
    <w:rsid w:val="00954602"/>
    <w:rsid w:val="0096074B"/>
    <w:rsid w:val="0096077B"/>
    <w:rsid w:val="009624C1"/>
    <w:rsid w:val="00965447"/>
    <w:rsid w:val="009711CB"/>
    <w:rsid w:val="00975CA7"/>
    <w:rsid w:val="0097691A"/>
    <w:rsid w:val="00983D8E"/>
    <w:rsid w:val="0098434F"/>
    <w:rsid w:val="00985440"/>
    <w:rsid w:val="009909BE"/>
    <w:rsid w:val="0099119E"/>
    <w:rsid w:val="00994254"/>
    <w:rsid w:val="00994B04"/>
    <w:rsid w:val="00996BE2"/>
    <w:rsid w:val="009A721D"/>
    <w:rsid w:val="009B3995"/>
    <w:rsid w:val="009B592A"/>
    <w:rsid w:val="009C1F90"/>
    <w:rsid w:val="009F6729"/>
    <w:rsid w:val="00A06D78"/>
    <w:rsid w:val="00A113B1"/>
    <w:rsid w:val="00A21502"/>
    <w:rsid w:val="00A2429B"/>
    <w:rsid w:val="00A24DDC"/>
    <w:rsid w:val="00A26E1B"/>
    <w:rsid w:val="00A27AF2"/>
    <w:rsid w:val="00A27D39"/>
    <w:rsid w:val="00A27E8D"/>
    <w:rsid w:val="00A30DB0"/>
    <w:rsid w:val="00A31520"/>
    <w:rsid w:val="00A342C0"/>
    <w:rsid w:val="00A34584"/>
    <w:rsid w:val="00A358F8"/>
    <w:rsid w:val="00A37C3A"/>
    <w:rsid w:val="00A41023"/>
    <w:rsid w:val="00A41A9A"/>
    <w:rsid w:val="00A4536A"/>
    <w:rsid w:val="00A45386"/>
    <w:rsid w:val="00A4792A"/>
    <w:rsid w:val="00A52A81"/>
    <w:rsid w:val="00A52E08"/>
    <w:rsid w:val="00A5452A"/>
    <w:rsid w:val="00A654FE"/>
    <w:rsid w:val="00A70EE7"/>
    <w:rsid w:val="00A73FE0"/>
    <w:rsid w:val="00A76EC3"/>
    <w:rsid w:val="00A8288A"/>
    <w:rsid w:val="00A91953"/>
    <w:rsid w:val="00A97530"/>
    <w:rsid w:val="00AA36CF"/>
    <w:rsid w:val="00AA42DD"/>
    <w:rsid w:val="00AA5087"/>
    <w:rsid w:val="00AC071F"/>
    <w:rsid w:val="00AC598C"/>
    <w:rsid w:val="00AC6057"/>
    <w:rsid w:val="00AD271D"/>
    <w:rsid w:val="00AD7071"/>
    <w:rsid w:val="00AE1189"/>
    <w:rsid w:val="00AE1449"/>
    <w:rsid w:val="00B01B0B"/>
    <w:rsid w:val="00B030CE"/>
    <w:rsid w:val="00B03E13"/>
    <w:rsid w:val="00B0513E"/>
    <w:rsid w:val="00B102C2"/>
    <w:rsid w:val="00B13096"/>
    <w:rsid w:val="00B13375"/>
    <w:rsid w:val="00B14ECB"/>
    <w:rsid w:val="00B171BE"/>
    <w:rsid w:val="00B201CC"/>
    <w:rsid w:val="00B216F4"/>
    <w:rsid w:val="00B21B6A"/>
    <w:rsid w:val="00B33C82"/>
    <w:rsid w:val="00B368C4"/>
    <w:rsid w:val="00B40683"/>
    <w:rsid w:val="00B4175E"/>
    <w:rsid w:val="00B47684"/>
    <w:rsid w:val="00B53FAB"/>
    <w:rsid w:val="00B54B77"/>
    <w:rsid w:val="00B569EF"/>
    <w:rsid w:val="00B77CE0"/>
    <w:rsid w:val="00B81DF0"/>
    <w:rsid w:val="00B82A96"/>
    <w:rsid w:val="00B85F96"/>
    <w:rsid w:val="00B91352"/>
    <w:rsid w:val="00B9199C"/>
    <w:rsid w:val="00B92B8C"/>
    <w:rsid w:val="00B93F60"/>
    <w:rsid w:val="00B97DD9"/>
    <w:rsid w:val="00BA281D"/>
    <w:rsid w:val="00BA2907"/>
    <w:rsid w:val="00BA55F2"/>
    <w:rsid w:val="00BA78C4"/>
    <w:rsid w:val="00BC116F"/>
    <w:rsid w:val="00BC4426"/>
    <w:rsid w:val="00BD42CB"/>
    <w:rsid w:val="00BE34A3"/>
    <w:rsid w:val="00BE6D1D"/>
    <w:rsid w:val="00BE7DB2"/>
    <w:rsid w:val="00BF68A7"/>
    <w:rsid w:val="00BF75B5"/>
    <w:rsid w:val="00BF7BB9"/>
    <w:rsid w:val="00C02E57"/>
    <w:rsid w:val="00C046B2"/>
    <w:rsid w:val="00C10152"/>
    <w:rsid w:val="00C13A67"/>
    <w:rsid w:val="00C1496A"/>
    <w:rsid w:val="00C14BC6"/>
    <w:rsid w:val="00C16783"/>
    <w:rsid w:val="00C16E6F"/>
    <w:rsid w:val="00C241F9"/>
    <w:rsid w:val="00C25EAB"/>
    <w:rsid w:val="00C263E2"/>
    <w:rsid w:val="00C2702C"/>
    <w:rsid w:val="00C30754"/>
    <w:rsid w:val="00C323CB"/>
    <w:rsid w:val="00C35537"/>
    <w:rsid w:val="00C40951"/>
    <w:rsid w:val="00C45448"/>
    <w:rsid w:val="00C45B3D"/>
    <w:rsid w:val="00C47BAA"/>
    <w:rsid w:val="00C5115E"/>
    <w:rsid w:val="00C530CA"/>
    <w:rsid w:val="00C53606"/>
    <w:rsid w:val="00C54CA2"/>
    <w:rsid w:val="00C550BC"/>
    <w:rsid w:val="00C60353"/>
    <w:rsid w:val="00C60706"/>
    <w:rsid w:val="00C6488E"/>
    <w:rsid w:val="00C65A7B"/>
    <w:rsid w:val="00C6629F"/>
    <w:rsid w:val="00C72805"/>
    <w:rsid w:val="00C74BC3"/>
    <w:rsid w:val="00C7653D"/>
    <w:rsid w:val="00C8135B"/>
    <w:rsid w:val="00C837C4"/>
    <w:rsid w:val="00C84A9C"/>
    <w:rsid w:val="00C96318"/>
    <w:rsid w:val="00C96A18"/>
    <w:rsid w:val="00CA1A1D"/>
    <w:rsid w:val="00CA1DCE"/>
    <w:rsid w:val="00CA292D"/>
    <w:rsid w:val="00CA467B"/>
    <w:rsid w:val="00CA4A21"/>
    <w:rsid w:val="00CB0AED"/>
    <w:rsid w:val="00CC79A8"/>
    <w:rsid w:val="00CD05F2"/>
    <w:rsid w:val="00CD59BC"/>
    <w:rsid w:val="00CE5298"/>
    <w:rsid w:val="00CE7263"/>
    <w:rsid w:val="00CE735F"/>
    <w:rsid w:val="00CF185F"/>
    <w:rsid w:val="00CF3C42"/>
    <w:rsid w:val="00CF75C8"/>
    <w:rsid w:val="00D011B3"/>
    <w:rsid w:val="00D02364"/>
    <w:rsid w:val="00D068BB"/>
    <w:rsid w:val="00D106EB"/>
    <w:rsid w:val="00D11EB0"/>
    <w:rsid w:val="00D1398B"/>
    <w:rsid w:val="00D15905"/>
    <w:rsid w:val="00D27912"/>
    <w:rsid w:val="00D307CB"/>
    <w:rsid w:val="00D333CB"/>
    <w:rsid w:val="00D337A6"/>
    <w:rsid w:val="00D33D15"/>
    <w:rsid w:val="00D35995"/>
    <w:rsid w:val="00D362E1"/>
    <w:rsid w:val="00D36B58"/>
    <w:rsid w:val="00D50266"/>
    <w:rsid w:val="00D50A45"/>
    <w:rsid w:val="00D55CFA"/>
    <w:rsid w:val="00D57090"/>
    <w:rsid w:val="00D618FF"/>
    <w:rsid w:val="00D6466B"/>
    <w:rsid w:val="00D64B80"/>
    <w:rsid w:val="00D677C7"/>
    <w:rsid w:val="00D728BC"/>
    <w:rsid w:val="00D734B2"/>
    <w:rsid w:val="00D80327"/>
    <w:rsid w:val="00D86E3F"/>
    <w:rsid w:val="00D91F70"/>
    <w:rsid w:val="00D974F1"/>
    <w:rsid w:val="00DA53EF"/>
    <w:rsid w:val="00DC1C91"/>
    <w:rsid w:val="00DC1E92"/>
    <w:rsid w:val="00DC26BF"/>
    <w:rsid w:val="00DC3F52"/>
    <w:rsid w:val="00DC6C7B"/>
    <w:rsid w:val="00DD0143"/>
    <w:rsid w:val="00DD4B11"/>
    <w:rsid w:val="00DD79AE"/>
    <w:rsid w:val="00DE5660"/>
    <w:rsid w:val="00DF1697"/>
    <w:rsid w:val="00DF4998"/>
    <w:rsid w:val="00DF4EF0"/>
    <w:rsid w:val="00E01F0C"/>
    <w:rsid w:val="00E03D1A"/>
    <w:rsid w:val="00E05EF6"/>
    <w:rsid w:val="00E105CB"/>
    <w:rsid w:val="00E15BD5"/>
    <w:rsid w:val="00E22F4A"/>
    <w:rsid w:val="00E22F94"/>
    <w:rsid w:val="00E25773"/>
    <w:rsid w:val="00E33C2C"/>
    <w:rsid w:val="00E374FC"/>
    <w:rsid w:val="00E376D5"/>
    <w:rsid w:val="00E42F1D"/>
    <w:rsid w:val="00E450A3"/>
    <w:rsid w:val="00E50517"/>
    <w:rsid w:val="00E536D2"/>
    <w:rsid w:val="00E5405A"/>
    <w:rsid w:val="00E567E8"/>
    <w:rsid w:val="00E632CF"/>
    <w:rsid w:val="00E66540"/>
    <w:rsid w:val="00E674F9"/>
    <w:rsid w:val="00E67794"/>
    <w:rsid w:val="00E7497A"/>
    <w:rsid w:val="00E84A21"/>
    <w:rsid w:val="00E8526D"/>
    <w:rsid w:val="00E85C15"/>
    <w:rsid w:val="00E9462E"/>
    <w:rsid w:val="00E97133"/>
    <w:rsid w:val="00EA07A7"/>
    <w:rsid w:val="00EA0FE1"/>
    <w:rsid w:val="00EB149B"/>
    <w:rsid w:val="00EB4502"/>
    <w:rsid w:val="00EB7013"/>
    <w:rsid w:val="00EB79D4"/>
    <w:rsid w:val="00EC18EC"/>
    <w:rsid w:val="00EC2C2D"/>
    <w:rsid w:val="00EC4A26"/>
    <w:rsid w:val="00EC5656"/>
    <w:rsid w:val="00ED3C43"/>
    <w:rsid w:val="00ED5B63"/>
    <w:rsid w:val="00EE1957"/>
    <w:rsid w:val="00EE3BCC"/>
    <w:rsid w:val="00EE6AEC"/>
    <w:rsid w:val="00EF499C"/>
    <w:rsid w:val="00F03232"/>
    <w:rsid w:val="00F03525"/>
    <w:rsid w:val="00F0459D"/>
    <w:rsid w:val="00F04DCA"/>
    <w:rsid w:val="00F050BA"/>
    <w:rsid w:val="00F055D7"/>
    <w:rsid w:val="00F07427"/>
    <w:rsid w:val="00F103F4"/>
    <w:rsid w:val="00F108C4"/>
    <w:rsid w:val="00F1135C"/>
    <w:rsid w:val="00F114F7"/>
    <w:rsid w:val="00F1282A"/>
    <w:rsid w:val="00F24BC7"/>
    <w:rsid w:val="00F25FD7"/>
    <w:rsid w:val="00F27F9A"/>
    <w:rsid w:val="00F344E1"/>
    <w:rsid w:val="00F42A53"/>
    <w:rsid w:val="00F4307B"/>
    <w:rsid w:val="00F43BF7"/>
    <w:rsid w:val="00F45E1C"/>
    <w:rsid w:val="00F50A1F"/>
    <w:rsid w:val="00F540B3"/>
    <w:rsid w:val="00F57957"/>
    <w:rsid w:val="00F62B40"/>
    <w:rsid w:val="00F64A84"/>
    <w:rsid w:val="00F71915"/>
    <w:rsid w:val="00F73754"/>
    <w:rsid w:val="00F763EA"/>
    <w:rsid w:val="00F80B14"/>
    <w:rsid w:val="00F86BCB"/>
    <w:rsid w:val="00F965B7"/>
    <w:rsid w:val="00F978BE"/>
    <w:rsid w:val="00FA5922"/>
    <w:rsid w:val="00FA6E68"/>
    <w:rsid w:val="00FB0529"/>
    <w:rsid w:val="00FB2163"/>
    <w:rsid w:val="00FB52A2"/>
    <w:rsid w:val="00FB5D22"/>
    <w:rsid w:val="00FB7F12"/>
    <w:rsid w:val="00FC2E49"/>
    <w:rsid w:val="00FD763D"/>
    <w:rsid w:val="00FE1BDF"/>
    <w:rsid w:val="00FE4E34"/>
    <w:rsid w:val="00FE600E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9D0674"/>
  <w14:defaultImageDpi w14:val="0"/>
  <w15:docId w15:val="{3D53374E-8926-495B-B820-E9675818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Definition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376"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locked/>
    <w:rsid w:val="00D1398B"/>
    <w:rPr>
      <w:rFonts w:cs="Times New Roman"/>
      <w:b/>
      <w:lang w:val="en-AU" w:eastAsia="en-US"/>
    </w:rPr>
  </w:style>
  <w:style w:type="paragraph" w:styleId="Header">
    <w:name w:val="header"/>
    <w:basedOn w:val="Normal"/>
    <w:link w:val="HeaderChar"/>
    <w:uiPriority w:val="99"/>
    <w:rsid w:val="00CE52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val="en-AU" w:eastAsia="en-US"/>
    </w:rPr>
  </w:style>
  <w:style w:type="paragraph" w:styleId="Footer">
    <w:name w:val="footer"/>
    <w:basedOn w:val="Normal"/>
    <w:link w:val="FooterChar"/>
    <w:uiPriority w:val="99"/>
    <w:rsid w:val="00CE52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en-AU" w:eastAsia="en-US"/>
    </w:rPr>
  </w:style>
  <w:style w:type="character" w:styleId="PageNumber">
    <w:name w:val="page number"/>
    <w:basedOn w:val="DefaultParagraphFont"/>
    <w:uiPriority w:val="99"/>
    <w:rsid w:val="00CE52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56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en-AU" w:eastAsia="en-US"/>
    </w:rPr>
  </w:style>
  <w:style w:type="table" w:styleId="TableGrid">
    <w:name w:val="Table Grid"/>
    <w:basedOn w:val="TableNormal"/>
    <w:uiPriority w:val="39"/>
    <w:rsid w:val="006C0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02E57"/>
    <w:rPr>
      <w:rFonts w:cs="Times New Roman"/>
      <w:color w:val="0000FF"/>
      <w:u w:val="single"/>
    </w:rPr>
  </w:style>
  <w:style w:type="character" w:customStyle="1" w:styleId="contents-child-anchor">
    <w:name w:val="contents-child-anchor"/>
    <w:basedOn w:val="DefaultParagraphFont"/>
    <w:rsid w:val="00D362E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994B0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94B04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4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lang w:val="en-AU" w:eastAsia="en-US"/>
    </w:rPr>
  </w:style>
  <w:style w:type="paragraph" w:styleId="Revision">
    <w:name w:val="Revision"/>
    <w:hidden/>
    <w:uiPriority w:val="99"/>
    <w:semiHidden/>
    <w:rsid w:val="00B13375"/>
    <w:rPr>
      <w:lang w:val="en-AU" w:eastAsia="en-US"/>
    </w:rPr>
  </w:style>
  <w:style w:type="character" w:styleId="HTMLDefinition">
    <w:name w:val="HTML Definition"/>
    <w:basedOn w:val="DefaultParagraphFont"/>
    <w:uiPriority w:val="99"/>
    <w:unhideWhenUsed/>
    <w:rsid w:val="009335B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29898">
      <w:marLeft w:val="131"/>
      <w:marRight w:val="131"/>
      <w:marTop w:val="131"/>
      <w:marBottom w:val="131"/>
      <w:divBdr>
        <w:top w:val="none" w:sz="0" w:space="0" w:color="auto"/>
        <w:left w:val="none" w:sz="0" w:space="0" w:color="auto"/>
        <w:bottom w:val="none" w:sz="0" w:space="0" w:color="auto"/>
        <w:right w:val="single" w:sz="18" w:space="0" w:color="B7C8D0"/>
      </w:divBdr>
    </w:div>
    <w:div w:id="36852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2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2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52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2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2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52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2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52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52E1E-C311-4F91-8688-C88534C9F3C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52bdcd-9996-4ea8-a8db-ad2b36fc1cd2}" enabled="1" method="Standard" siteId="{45c97e4e-bd8d-4ddc-bd6e-2d62daa2a01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4556</Words>
  <Characters>23196</Characters>
  <Application>Microsoft Office Word</Application>
  <DocSecurity>4</DocSecurity>
  <Lines>1054</Lines>
  <Paragraphs>1027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MRZ checksheet</vt:lpstr>
    </vt:vector>
  </TitlesOfParts>
  <Company>Christchurch City Council</Company>
  <LinksUpToDate>false</LinksUpToDate>
  <CharactersWithSpaces>26725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MRZ checksheet</dc:title>
  <dc:subject/>
  <dc:creator>Elvidge, Catherine</dc:creator>
  <cp:keywords/>
  <dc:description/>
  <cp:lastModifiedBy>Robson, Gina</cp:lastModifiedBy>
  <cp:revision>2</cp:revision>
  <cp:lastPrinted>2024-11-18T21:51:00Z</cp:lastPrinted>
  <dcterms:created xsi:type="dcterms:W3CDTF">2025-06-08T22:22:00Z</dcterms:created>
  <dcterms:modified xsi:type="dcterms:W3CDTF">2025-06-08T22:22:00Z</dcterms:modified>
</cp:coreProperties>
</file>