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CF" w:rsidRDefault="00943200" w:rsidP="001350CF">
      <w:pPr>
        <w:pStyle w:val="Title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RESIDENTIAL </w:t>
      </w:r>
      <w:r w:rsidR="00AB6677">
        <w:rPr>
          <w:rFonts w:ascii="Arial" w:hAnsi="Arial" w:cs="Arial"/>
          <w:sz w:val="32"/>
          <w:szCs w:val="32"/>
        </w:rPr>
        <w:t>SMALL SETTLEMENT</w:t>
      </w:r>
      <w:r w:rsidR="001350CF">
        <w:rPr>
          <w:rFonts w:ascii="Arial" w:hAnsi="Arial" w:cs="Arial"/>
          <w:sz w:val="32"/>
          <w:szCs w:val="32"/>
        </w:rPr>
        <w:t xml:space="preserve"> </w:t>
      </w:r>
      <w:r w:rsidR="00BC4426">
        <w:rPr>
          <w:rFonts w:ascii="Arial" w:hAnsi="Arial" w:cs="Arial"/>
          <w:sz w:val="32"/>
          <w:szCs w:val="32"/>
        </w:rPr>
        <w:t>ZONE</w:t>
      </w:r>
      <w:r w:rsidR="004E0D1E">
        <w:rPr>
          <w:rFonts w:ascii="Arial" w:hAnsi="Arial" w:cs="Arial"/>
          <w:sz w:val="32"/>
          <w:szCs w:val="32"/>
        </w:rPr>
        <w:t xml:space="preserve"> </w:t>
      </w:r>
    </w:p>
    <w:p w:rsidR="002D7048" w:rsidRPr="00667D6C" w:rsidRDefault="002D7048">
      <w:pPr>
        <w:pStyle w:val="Title"/>
        <w:jc w:val="left"/>
        <w:rPr>
          <w:rFonts w:ascii="Arial" w:hAnsi="Arial" w:cs="Arial"/>
          <w:sz w:val="28"/>
          <w:szCs w:val="28"/>
        </w:rPr>
      </w:pPr>
    </w:p>
    <w:p w:rsidR="00B569EF" w:rsidRPr="00EA0FE1" w:rsidRDefault="00B569EF" w:rsidP="00282924">
      <w:pPr>
        <w:pStyle w:val="Title"/>
        <w:tabs>
          <w:tab w:val="left" w:pos="1134"/>
        </w:tabs>
        <w:spacing w:after="120"/>
        <w:jc w:val="left"/>
        <w:rPr>
          <w:rFonts w:ascii="Arial" w:hAnsi="Arial" w:cs="Arial"/>
          <w:sz w:val="22"/>
          <w:szCs w:val="22"/>
        </w:rPr>
      </w:pPr>
      <w:r w:rsidRPr="00EA0FE1">
        <w:rPr>
          <w:rFonts w:ascii="Arial" w:hAnsi="Arial" w:cs="Arial"/>
          <w:sz w:val="22"/>
          <w:szCs w:val="22"/>
        </w:rPr>
        <w:t xml:space="preserve">Job No:  </w:t>
      </w:r>
      <w:r>
        <w:rPr>
          <w:rFonts w:ascii="Arial" w:hAnsi="Arial" w:cs="Arial"/>
          <w:sz w:val="22"/>
          <w:szCs w:val="22"/>
        </w:rPr>
        <w:tab/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EA0FE1">
        <w:rPr>
          <w:rFonts w:ascii="Arial" w:hAnsi="Arial" w:cs="Arial"/>
          <w:sz w:val="22"/>
          <w:szCs w:val="22"/>
        </w:rPr>
        <w:t xml:space="preserve">Planner:   </w:t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</w:p>
    <w:p w:rsidR="00B569EF" w:rsidRDefault="00B569EF" w:rsidP="00B569EF">
      <w:pPr>
        <w:pStyle w:val="Title"/>
        <w:tabs>
          <w:tab w:val="left" w:pos="1134"/>
        </w:tabs>
        <w:spacing w:after="1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  <w:r w:rsidRPr="00EA0FE1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ab/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bookmarkStart w:id="0" w:name="_GoBack"/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bookmarkEnd w:id="0"/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Date</w:t>
      </w:r>
      <w:r w:rsidRPr="00EA0FE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  </w:t>
      </w:r>
      <w:r w:rsidRPr="00EA0FE1">
        <w:rPr>
          <w:rFonts w:ascii="Arial" w:hAnsi="Arial" w:cs="Arial"/>
          <w:sz w:val="22"/>
          <w:szCs w:val="22"/>
        </w:rPr>
        <w:t xml:space="preserve">  </w:t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</w:p>
    <w:p w:rsidR="00D1398B" w:rsidRPr="001031CC" w:rsidRDefault="00D1398B" w:rsidP="00D1398B">
      <w:pPr>
        <w:pStyle w:val="Title"/>
        <w:tabs>
          <w:tab w:val="left" w:pos="1134"/>
        </w:tabs>
        <w:spacing w:after="120"/>
        <w:jc w:val="left"/>
        <w:rPr>
          <w:rFonts w:ascii="Arial" w:hAnsi="Arial" w:cs="Arial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9"/>
        <w:gridCol w:w="5459"/>
        <w:gridCol w:w="2873"/>
      </w:tblGrid>
      <w:tr w:rsidR="00FB2C67" w:rsidRPr="00E84A21" w:rsidTr="00FB2C67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:rsidR="00FB2C67" w:rsidRPr="00E84A21" w:rsidRDefault="00FB2C67" w:rsidP="00FB2C67">
            <w:pPr>
              <w:pStyle w:val="Title"/>
              <w:spacing w:before="40" w:after="4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84A21">
              <w:rPr>
                <w:rFonts w:ascii="Arial" w:hAnsi="Arial" w:cs="Arial"/>
                <w:color w:val="FFFFFF"/>
                <w:sz w:val="18"/>
                <w:szCs w:val="18"/>
              </w:rPr>
              <w:t>Y</w:t>
            </w:r>
          </w:p>
        </w:tc>
        <w:tc>
          <w:tcPr>
            <w:tcW w:w="649" w:type="dxa"/>
            <w:shd w:val="clear" w:color="auto" w:fill="008080"/>
            <w:vAlign w:val="center"/>
          </w:tcPr>
          <w:p w:rsidR="00FB2C67" w:rsidRPr="00E84A21" w:rsidRDefault="00FB2C67" w:rsidP="00FB2C67">
            <w:pPr>
              <w:pStyle w:val="Title"/>
              <w:spacing w:before="40" w:after="4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84A21">
              <w:rPr>
                <w:rFonts w:ascii="Arial" w:hAnsi="Arial" w:cs="Arial"/>
                <w:color w:val="FFFFFF"/>
                <w:sz w:val="18"/>
                <w:szCs w:val="18"/>
              </w:rPr>
              <w:t>N</w:t>
            </w:r>
          </w:p>
        </w:tc>
        <w:tc>
          <w:tcPr>
            <w:tcW w:w="5459" w:type="dxa"/>
            <w:shd w:val="clear" w:color="auto" w:fill="008080"/>
            <w:vAlign w:val="center"/>
          </w:tcPr>
          <w:p w:rsidR="00FB2C67" w:rsidRPr="00E84A21" w:rsidRDefault="00FB2C67" w:rsidP="00FB2C67">
            <w:pPr>
              <w:pStyle w:val="Title"/>
              <w:spacing w:before="6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2873" w:type="dxa"/>
            <w:shd w:val="clear" w:color="auto" w:fill="008080"/>
            <w:vAlign w:val="center"/>
          </w:tcPr>
          <w:p w:rsidR="00FB2C67" w:rsidRPr="00E84A21" w:rsidRDefault="00FB2C67" w:rsidP="00FB2C67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Comments</w:t>
            </w:r>
          </w:p>
        </w:tc>
      </w:tr>
      <w:tr w:rsidR="00FB2C67" w:rsidRPr="00FB52A2" w:rsidTr="00FB2C67">
        <w:tc>
          <w:tcPr>
            <w:tcW w:w="647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Heritage Item/Setting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on or adjacent to site</w:t>
            </w:r>
          </w:p>
        </w:tc>
        <w:tc>
          <w:tcPr>
            <w:tcW w:w="2873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FB52A2" w:rsidTr="00FB2C67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Protected tree on or adjacent to site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(incl public realm tree)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FB52A2" w:rsidTr="00FB2C67">
        <w:tc>
          <w:tcPr>
            <w:tcW w:w="647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2873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FB52A2" w:rsidTr="00FB2C67">
        <w:tc>
          <w:tcPr>
            <w:tcW w:w="647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FB2C67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Flood Management Area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FB2C67" w:rsidRPr="00FB52A2" w:rsidRDefault="00FB2C67" w:rsidP="00FB2C67">
            <w:pPr>
              <w:spacing w:before="40" w:after="40"/>
              <w:ind w:left="385" w:hanging="385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Within Fixed Minimum Floor Level Overlay</w:t>
            </w:r>
          </w:p>
          <w:p w:rsidR="00FB2C67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068BD">
              <w:rPr>
                <w:rFonts w:ascii="Arial" w:hAnsi="Arial" w:cs="Arial"/>
                <w:b w:val="0"/>
                <w:sz w:val="18"/>
                <w:szCs w:val="18"/>
              </w:rPr>
              <w:t>Outside Fixed Minimum Floor Level Overlay</w:t>
            </w:r>
          </w:p>
          <w:p w:rsidR="00FB2C67" w:rsidRPr="00F04DCA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>High Flood Hazard Management Area</w:t>
            </w:r>
          </w:p>
          <w:p w:rsidR="00FB2C67" w:rsidRPr="00F04DCA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b w:val="0"/>
                <w:sz w:val="18"/>
                <w:szCs w:val="18"/>
              </w:rPr>
            </w:r>
            <w:r w:rsidR="00ED34BD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 xml:space="preserve">    Flood Ponding Area</w:t>
            </w:r>
          </w:p>
          <w:p w:rsidR="00FB2C67" w:rsidRPr="00F04DCA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b w:val="0"/>
                <w:sz w:val="18"/>
                <w:szCs w:val="18"/>
              </w:rPr>
            </w:r>
            <w:r w:rsidR="00ED34BD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 xml:space="preserve">    Waimakariri FMA</w:t>
            </w:r>
          </w:p>
          <w:p w:rsidR="00FB2C67" w:rsidRPr="00FB52A2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b w:val="0"/>
                <w:sz w:val="18"/>
                <w:szCs w:val="18"/>
              </w:rPr>
            </w:r>
            <w:r w:rsidR="00ED34BD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 xml:space="preserve">    Te Waihora/Lake Ellesmere or Wairewa/Lake Forsyth FMA</w:t>
            </w:r>
          </w:p>
        </w:tc>
        <w:tc>
          <w:tcPr>
            <w:tcW w:w="2873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FB52A2" w:rsidTr="00FB2C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Liquefaction Management Area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FB52A2" w:rsidTr="00FB2C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67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Slope Instability Management Area</w:t>
            </w:r>
          </w:p>
          <w:p w:rsidR="00FB2C67" w:rsidRPr="00FB52A2" w:rsidRDefault="00FB2C67" w:rsidP="00FB2C67">
            <w:pPr>
              <w:spacing w:before="40" w:after="40"/>
              <w:ind w:left="385" w:hanging="385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Cliff Collapse</w:t>
            </w:r>
          </w:p>
          <w:p w:rsidR="00FB2C67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Rockfall</w:t>
            </w:r>
          </w:p>
          <w:p w:rsidR="00FB2C67" w:rsidRPr="00FB52A2" w:rsidRDefault="00FB2C67" w:rsidP="00FB2C67">
            <w:pPr>
              <w:spacing w:before="40" w:after="40"/>
              <w:ind w:left="385" w:hanging="385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Mass Movement</w:t>
            </w:r>
          </w:p>
          <w:p w:rsidR="00FB2C67" w:rsidRPr="00FB52A2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Remainder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FB52A2" w:rsidTr="00FB2C67">
        <w:tc>
          <w:tcPr>
            <w:tcW w:w="647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HAIL site</w:t>
            </w:r>
          </w:p>
        </w:tc>
        <w:tc>
          <w:tcPr>
            <w:tcW w:w="2873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FB52A2" w:rsidTr="00FB2C67">
        <w:tc>
          <w:tcPr>
            <w:tcW w:w="647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2873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FB52A2" w:rsidTr="00FB2C67">
        <w:tc>
          <w:tcPr>
            <w:tcW w:w="647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Overlay areas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- other</w:t>
            </w:r>
          </w:p>
        </w:tc>
        <w:tc>
          <w:tcPr>
            <w:tcW w:w="2873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FB52A2" w:rsidTr="00FB2C67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Airport noise contours</w:t>
            </w:r>
          </w:p>
        </w:tc>
        <w:tc>
          <w:tcPr>
            <w:tcW w:w="2873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FB52A2" w:rsidTr="00FB2C67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FB2C67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Water body</w:t>
            </w:r>
          </w:p>
        </w:tc>
        <w:tc>
          <w:tcPr>
            <w:tcW w:w="2873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D3F29" w:rsidRPr="00FB52A2" w:rsidTr="00FB2C67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DD3F29" w:rsidRPr="00FB52A2" w:rsidRDefault="00DD3F29" w:rsidP="00DD3F2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DD3F29" w:rsidRPr="00FB52A2" w:rsidRDefault="00DD3F29" w:rsidP="00DD3F2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DD3F29" w:rsidRDefault="00DD3F29" w:rsidP="00DD3F2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Sensitive activity near road/rail – Refer Ch 6.1.7</w:t>
            </w:r>
          </w:p>
        </w:tc>
        <w:tc>
          <w:tcPr>
            <w:tcW w:w="2873" w:type="dxa"/>
            <w:shd w:val="clear" w:color="auto" w:fill="auto"/>
          </w:tcPr>
          <w:p w:rsidR="00DD3F29" w:rsidRPr="00FB52A2" w:rsidRDefault="00DD3F29" w:rsidP="00DD3F2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D3F29" w:rsidRPr="00FB52A2" w:rsidTr="00FB2C67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DD3F29" w:rsidRPr="00FB52A2" w:rsidRDefault="00DD3F29" w:rsidP="00DD3F2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DD3F29" w:rsidRPr="00FB52A2" w:rsidRDefault="00DD3F29" w:rsidP="00DD3F2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DD3F29" w:rsidRDefault="00DD3F29" w:rsidP="00DD3F2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Coastal hazard – Refer City Plan</w:t>
            </w:r>
          </w:p>
        </w:tc>
        <w:tc>
          <w:tcPr>
            <w:tcW w:w="2873" w:type="dxa"/>
            <w:shd w:val="clear" w:color="auto" w:fill="auto"/>
          </w:tcPr>
          <w:p w:rsidR="00DD3F29" w:rsidRPr="00FB52A2" w:rsidRDefault="00DD3F29" w:rsidP="00DD3F2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FB2C67" w:rsidRDefault="00FB2C67" w:rsidP="006B4408">
      <w:pPr>
        <w:pStyle w:val="Title"/>
        <w:ind w:left="1134" w:hanging="1134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61"/>
        <w:gridCol w:w="565"/>
        <w:gridCol w:w="5101"/>
        <w:gridCol w:w="2871"/>
      </w:tblGrid>
      <w:tr w:rsidR="005425C5" w:rsidRPr="00E84A21" w:rsidTr="00034A5A">
        <w:trPr>
          <w:cantSplit/>
          <w:trHeight w:val="291"/>
          <w:tblHeader/>
        </w:trPr>
        <w:tc>
          <w:tcPr>
            <w:tcW w:w="9628" w:type="dxa"/>
            <w:gridSpan w:val="5"/>
            <w:shd w:val="clear" w:color="auto" w:fill="336699"/>
            <w:vAlign w:val="center"/>
          </w:tcPr>
          <w:p w:rsidR="005425C5" w:rsidRPr="00E84A21" w:rsidRDefault="000D44D0" w:rsidP="00E84A21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ACTIVITY STATUS TABLES AND ACTIVITY SPECIFIC STANDARDS</w:t>
            </w:r>
          </w:p>
        </w:tc>
      </w:tr>
      <w:tr w:rsidR="002D7048" w:rsidRPr="00FB52A2" w:rsidTr="00AB6677">
        <w:trPr>
          <w:cantSplit/>
          <w:trHeight w:val="265"/>
          <w:tblHeader/>
        </w:trPr>
        <w:tc>
          <w:tcPr>
            <w:tcW w:w="1655" w:type="dxa"/>
            <w:gridSpan w:val="3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108" w:type="dxa"/>
            <w:vMerge w:val="restart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65" w:type="dxa"/>
            <w:vMerge w:val="restart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2D7048" w:rsidRPr="00FB52A2" w:rsidTr="00E84A21">
        <w:trPr>
          <w:cantSplit/>
          <w:trHeight w:val="336"/>
          <w:tblHeader/>
        </w:trPr>
        <w:tc>
          <w:tcPr>
            <w:tcW w:w="534" w:type="dxa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243" w:type="dxa"/>
            <w:vMerge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3" w:type="dxa"/>
            <w:vMerge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048" w:rsidRPr="00FB52A2" w:rsidTr="00E84A21">
        <w:tc>
          <w:tcPr>
            <w:tcW w:w="9854" w:type="dxa"/>
            <w:gridSpan w:val="5"/>
            <w:shd w:val="clear" w:color="auto" w:fill="E6E6E6"/>
          </w:tcPr>
          <w:p w:rsidR="002D7048" w:rsidRPr="00FB52A2" w:rsidRDefault="000D44D0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Permitted activities</w:t>
            </w:r>
          </w:p>
        </w:tc>
      </w:tr>
      <w:tr w:rsidR="002E298E" w:rsidRPr="00FB52A2" w:rsidTr="00E84A21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</w:t>
            </w:r>
            <w:r w:rsidR="004035B3">
              <w:rPr>
                <w:rFonts w:ascii="Arial" w:hAnsi="Arial" w:cs="Arial"/>
                <w:sz w:val="18"/>
                <w:szCs w:val="18"/>
              </w:rPr>
              <w:t>.10.1.</w:t>
            </w:r>
            <w:r w:rsidRPr="00FB52A2">
              <w:rPr>
                <w:rFonts w:ascii="Arial" w:hAnsi="Arial" w:cs="Arial"/>
                <w:sz w:val="18"/>
                <w:szCs w:val="18"/>
              </w:rPr>
              <w:t>1 Permitted activities</w:t>
            </w:r>
          </w:p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Is the activity provided for as a Permitted activity? </w:t>
            </w:r>
          </w:p>
          <w:p w:rsidR="002E298E" w:rsidRPr="00FB52A2" w:rsidRDefault="00916EA7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Refer rule for list</w:t>
            </w:r>
            <w:r w:rsidR="002E298E"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2034C9" w:rsidRPr="00FB52A2" w:rsidTr="00E84A21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:rsidR="002E298E" w:rsidRPr="00FB52A2" w:rsidRDefault="002034C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sz w:val="18"/>
                <w:szCs w:val="18"/>
              </w:rPr>
              <w:t>10.1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="00D64B80" w:rsidRPr="00FB52A2">
              <w:rPr>
                <w:rFonts w:ascii="Arial" w:hAnsi="Arial" w:cs="Arial"/>
                <w:sz w:val="18"/>
                <w:szCs w:val="18"/>
              </w:rPr>
              <w:t>Activity specific standards</w:t>
            </w:r>
          </w:p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Does the activity comply with all relevant activity specific standards?</w:t>
            </w:r>
          </w:p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Refer rule for details</w:t>
            </w:r>
            <w:r w:rsidR="00BC4426"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:rsidR="002034C9" w:rsidRPr="00FB52A2" w:rsidRDefault="002034C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2E298E" w:rsidRPr="00FB52A2" w:rsidTr="00E84A21">
        <w:tc>
          <w:tcPr>
            <w:tcW w:w="9854" w:type="dxa"/>
            <w:gridSpan w:val="5"/>
            <w:shd w:val="clear" w:color="auto" w:fill="E6E6E6"/>
            <w:vAlign w:val="center"/>
          </w:tcPr>
          <w:p w:rsidR="002E298E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FB52A2">
              <w:rPr>
                <w:rFonts w:ascii="Arial" w:hAnsi="Arial" w:cs="Arial"/>
                <w:sz w:val="18"/>
                <w:szCs w:val="18"/>
              </w:rPr>
              <w:t>activity classifications</w:t>
            </w:r>
          </w:p>
        </w:tc>
      </w:tr>
      <w:tr w:rsidR="00AB6677" w:rsidRPr="00FB52A2" w:rsidTr="00E84A21">
        <w:tc>
          <w:tcPr>
            <w:tcW w:w="534" w:type="dxa"/>
            <w:shd w:val="clear" w:color="auto" w:fill="auto"/>
          </w:tcPr>
          <w:p w:rsidR="00AB6677" w:rsidRPr="00FB52A2" w:rsidRDefault="00AB6677" w:rsidP="00AB667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AB6677" w:rsidRPr="00FB52A2" w:rsidRDefault="00AB6677" w:rsidP="00AB667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AB6677" w:rsidRPr="00FB52A2" w:rsidRDefault="00AB6677" w:rsidP="00AB667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:rsidR="00AB6677" w:rsidRDefault="00AB6677" w:rsidP="00AB667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b/>
                <w:sz w:val="18"/>
                <w:szCs w:val="18"/>
              </w:rPr>
              <w:t>10.1</w:t>
            </w:r>
            <w:r>
              <w:rPr>
                <w:rFonts w:ascii="Arial" w:hAnsi="Arial" w:cs="Arial"/>
                <w:b/>
                <w:sz w:val="18"/>
                <w:szCs w:val="18"/>
              </w:rPr>
              <w:t>.2 Controlled activities</w:t>
            </w:r>
          </w:p>
          <w:p w:rsidR="00AB6677" w:rsidRPr="00FB52A2" w:rsidRDefault="00AB6677" w:rsidP="00AB6677">
            <w:pPr>
              <w:tabs>
                <w:tab w:val="left" w:pos="359"/>
              </w:tabs>
              <w:spacing w:before="40" w:after="40"/>
              <w:ind w:left="359" w:hanging="359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  <w:t>Res</w:t>
            </w:r>
            <w:r>
              <w:rPr>
                <w:rFonts w:ascii="Arial" w:hAnsi="Arial" w:cs="Arial"/>
                <w:sz w:val="18"/>
                <w:szCs w:val="18"/>
              </w:rPr>
              <w:t xml:space="preserve">idential units </w:t>
            </w:r>
            <w:r w:rsidRPr="00FB52A2">
              <w:rPr>
                <w:rFonts w:ascii="Arial" w:hAnsi="Arial" w:cs="Arial"/>
                <w:sz w:val="18"/>
                <w:szCs w:val="18"/>
              </w:rPr>
              <w:t>with more than 6 bedrooms</w:t>
            </w:r>
            <w:r>
              <w:rPr>
                <w:rFonts w:ascii="Arial" w:hAnsi="Arial" w:cs="Arial"/>
                <w:sz w:val="18"/>
                <w:szCs w:val="18"/>
              </w:rPr>
              <w:t xml:space="preserve"> (includes sleepouts)                    </w:t>
            </w:r>
          </w:p>
        </w:tc>
        <w:tc>
          <w:tcPr>
            <w:tcW w:w="2943" w:type="dxa"/>
            <w:shd w:val="clear" w:color="auto" w:fill="auto"/>
          </w:tcPr>
          <w:p w:rsidR="00AB6677" w:rsidRPr="00FB52A2" w:rsidRDefault="004035B3" w:rsidP="00AB667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D44D0" w:rsidRPr="00FB52A2" w:rsidTr="00AB6677">
        <w:tc>
          <w:tcPr>
            <w:tcW w:w="529" w:type="dxa"/>
            <w:shd w:val="clear" w:color="auto" w:fill="auto"/>
          </w:tcPr>
          <w:p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8" w:type="dxa"/>
            <w:shd w:val="clear" w:color="auto" w:fill="auto"/>
          </w:tcPr>
          <w:p w:rsidR="000D44D0" w:rsidRPr="00FB52A2" w:rsidRDefault="000D44D0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b/>
                <w:sz w:val="18"/>
                <w:szCs w:val="18"/>
              </w:rPr>
              <w:t>10.1.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3 Restricted discretionary activities</w:t>
            </w:r>
          </w:p>
          <w:p w:rsidR="00E6086A" w:rsidRDefault="000D44D0" w:rsidP="00AB667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E6086A">
              <w:rPr>
                <w:rFonts w:ascii="Arial" w:hAnsi="Arial" w:cs="Arial"/>
                <w:sz w:val="18"/>
                <w:szCs w:val="18"/>
              </w:rPr>
              <w:t>Retirement villages</w:t>
            </w:r>
            <w:r w:rsidR="00AB66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6677" w:rsidRPr="00AB6677">
              <w:rPr>
                <w:rFonts w:ascii="Arial" w:hAnsi="Arial" w:cs="Arial"/>
                <w:sz w:val="18"/>
                <w:szCs w:val="18"/>
              </w:rPr>
              <w:t>able to provide a legal</w:t>
            </w:r>
            <w:r w:rsidR="00AB66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6677" w:rsidRPr="00AB6677">
              <w:rPr>
                <w:rFonts w:ascii="Arial" w:hAnsi="Arial" w:cs="Arial"/>
                <w:sz w:val="18"/>
                <w:szCs w:val="18"/>
              </w:rPr>
              <w:t>on-site treatment and disposal system or</w:t>
            </w:r>
            <w:r w:rsidR="00AB66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6677" w:rsidRPr="00AB6677">
              <w:rPr>
                <w:rFonts w:ascii="Arial" w:hAnsi="Arial" w:cs="Arial"/>
                <w:sz w:val="18"/>
                <w:szCs w:val="18"/>
              </w:rPr>
              <w:t>be able to be serviced by the Council’s</w:t>
            </w:r>
            <w:r w:rsidR="00AB66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6677" w:rsidRPr="00AB6677">
              <w:rPr>
                <w:rFonts w:ascii="Arial" w:hAnsi="Arial" w:cs="Arial"/>
                <w:sz w:val="18"/>
                <w:szCs w:val="18"/>
              </w:rPr>
              <w:t>wastewater system while ensuring there is</w:t>
            </w:r>
            <w:r w:rsidR="00AB66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6677" w:rsidRPr="00AB6677">
              <w:rPr>
                <w:rFonts w:ascii="Arial" w:hAnsi="Arial" w:cs="Arial"/>
                <w:sz w:val="18"/>
                <w:szCs w:val="18"/>
              </w:rPr>
              <w:t>adequate capacity within the Council’s</w:t>
            </w:r>
            <w:r w:rsidR="00AB66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6677" w:rsidRPr="00AB6677">
              <w:rPr>
                <w:rFonts w:ascii="Arial" w:hAnsi="Arial" w:cs="Arial"/>
                <w:sz w:val="18"/>
                <w:szCs w:val="18"/>
              </w:rPr>
              <w:t>system to service the existing zoned land</w:t>
            </w:r>
            <w:r w:rsidR="004035B3">
              <w:rPr>
                <w:rFonts w:ascii="Arial" w:hAnsi="Arial" w:cs="Arial"/>
                <w:sz w:val="18"/>
                <w:szCs w:val="18"/>
              </w:rPr>
              <w:t xml:space="preserve"> (Note geriatric hospice and hospital care are subject to health care facility provisions)</w:t>
            </w:r>
          </w:p>
          <w:p w:rsidR="003556D9" w:rsidRDefault="009039AE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3556D9">
              <w:rPr>
                <w:rFonts w:ascii="Arial" w:hAnsi="Arial" w:cs="Arial"/>
                <w:sz w:val="18"/>
                <w:szCs w:val="18"/>
              </w:rPr>
              <w:t>Residential units within the Takamatua and Robinsons Bay Overlay Areas</w:t>
            </w:r>
          </w:p>
          <w:p w:rsidR="009039AE" w:rsidRDefault="009039AE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3556D9">
              <w:rPr>
                <w:rFonts w:ascii="Arial" w:hAnsi="Arial" w:cs="Arial"/>
                <w:sz w:val="18"/>
                <w:szCs w:val="18"/>
              </w:rPr>
              <w:t>Convenience activities</w:t>
            </w:r>
          </w:p>
          <w:p w:rsidR="003556D9" w:rsidRDefault="003556D9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Camping grounds</w:t>
            </w:r>
          </w:p>
          <w:p w:rsidR="003556D9" w:rsidRDefault="003556D9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Buildings that do not comply with 14.</w:t>
            </w:r>
            <w:r w:rsidR="004035B3">
              <w:rPr>
                <w:rFonts w:ascii="Arial" w:hAnsi="Arial" w:cs="Arial"/>
                <w:sz w:val="18"/>
                <w:szCs w:val="18"/>
              </w:rPr>
              <w:t>10.2</w:t>
            </w:r>
            <w:r>
              <w:rPr>
                <w:rFonts w:ascii="Arial" w:hAnsi="Arial" w:cs="Arial"/>
                <w:sz w:val="18"/>
                <w:szCs w:val="18"/>
              </w:rPr>
              <w:t>.2 Building height up to 9m</w:t>
            </w:r>
          </w:p>
          <w:p w:rsidR="000D44D0" w:rsidRPr="00FB52A2" w:rsidRDefault="001E0B6C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 xml:space="preserve">Any other activity prescribed </w:t>
            </w:r>
            <w:r w:rsidR="00DC1C91" w:rsidRPr="00765D00">
              <w:rPr>
                <w:rFonts w:ascii="Arial" w:hAnsi="Arial" w:cs="Arial"/>
                <w:b/>
                <w:sz w:val="18"/>
                <w:szCs w:val="18"/>
              </w:rPr>
              <w:t>in this</w:t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 xml:space="preserve"> rule as a restricted discretionary activity because it doesn't comply with the specified standards.</w:t>
            </w:r>
          </w:p>
        </w:tc>
        <w:tc>
          <w:tcPr>
            <w:tcW w:w="2865" w:type="dxa"/>
            <w:shd w:val="clear" w:color="auto" w:fill="auto"/>
          </w:tcPr>
          <w:p w:rsidR="000D44D0" w:rsidRPr="00FB52A2" w:rsidRDefault="000D44D0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D44D0" w:rsidRDefault="000D44D0" w:rsidP="00282924">
            <w:pPr>
              <w:rPr>
                <w:rFonts w:ascii="Arial" w:hAnsi="Arial" w:cs="Arial"/>
                <w:sz w:val="18"/>
                <w:szCs w:val="18"/>
              </w:rPr>
            </w:pPr>
          </w:p>
          <w:p w:rsidR="00E6086A" w:rsidRPr="00FB52A2" w:rsidRDefault="00E6086A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B6C" w:rsidRPr="00FB52A2" w:rsidTr="00AB6677">
        <w:tc>
          <w:tcPr>
            <w:tcW w:w="529" w:type="dxa"/>
            <w:shd w:val="clear" w:color="auto" w:fill="auto"/>
          </w:tcPr>
          <w:p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8" w:type="dxa"/>
            <w:shd w:val="clear" w:color="auto" w:fill="auto"/>
          </w:tcPr>
          <w:p w:rsidR="001E0B6C" w:rsidRPr="00FB52A2" w:rsidRDefault="001E0B6C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b/>
                <w:sz w:val="18"/>
                <w:szCs w:val="18"/>
              </w:rPr>
              <w:t>10.1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.4 Discretionary activities</w:t>
            </w:r>
          </w:p>
          <w:p w:rsidR="001E0B6C" w:rsidRPr="00FB52A2" w:rsidRDefault="001E0B6C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DC1C91" w:rsidRPr="00765D00">
              <w:rPr>
                <w:rFonts w:ascii="Arial" w:hAnsi="Arial" w:cs="Arial"/>
                <w:b/>
                <w:sz w:val="18"/>
                <w:szCs w:val="18"/>
              </w:rPr>
              <w:t>Any activity prescribed in this rule as a discretionary activity because it doesn't comply with the specified standards</w:t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E0B6C" w:rsidRPr="00FB52A2" w:rsidRDefault="00DC1C91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>Any activity not otherwise provided for as a permitted, controlled, restricted discretionary, non-complying or prohibited activity.</w:t>
            </w:r>
          </w:p>
        </w:tc>
        <w:tc>
          <w:tcPr>
            <w:tcW w:w="2865" w:type="dxa"/>
            <w:shd w:val="clear" w:color="auto" w:fill="auto"/>
          </w:tcPr>
          <w:p w:rsidR="001E0B6C" w:rsidRPr="00FB52A2" w:rsidRDefault="001E0B6C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E0B6C" w:rsidRPr="00FB52A2" w:rsidRDefault="001E0B6C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1C91" w:rsidRPr="00FB52A2" w:rsidTr="00AB6677">
        <w:tc>
          <w:tcPr>
            <w:tcW w:w="529" w:type="dxa"/>
            <w:shd w:val="clear" w:color="auto" w:fill="auto"/>
          </w:tcPr>
          <w:p w:rsidR="00DC1C91" w:rsidRPr="00FB52A2" w:rsidRDefault="00DC1C9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C1C91" w:rsidRPr="00FB52A2" w:rsidRDefault="00DC1C9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DC1C91" w:rsidRPr="00FB52A2" w:rsidRDefault="00DC1C9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8" w:type="dxa"/>
            <w:shd w:val="clear" w:color="auto" w:fill="auto"/>
          </w:tcPr>
          <w:p w:rsidR="00DC1C91" w:rsidRPr="00FB52A2" w:rsidRDefault="00DC1C91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b/>
                <w:sz w:val="18"/>
                <w:szCs w:val="18"/>
              </w:rPr>
              <w:t>10.1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.5 Non-complying activities</w:t>
            </w:r>
          </w:p>
          <w:p w:rsidR="00357BCA" w:rsidRDefault="00DC1C91" w:rsidP="00357BCA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357BCA">
              <w:rPr>
                <w:rFonts w:ascii="Arial" w:hAnsi="Arial" w:cs="Arial"/>
                <w:sz w:val="18"/>
                <w:szCs w:val="18"/>
              </w:rPr>
              <w:t>Buildings over 9m in height</w:t>
            </w:r>
          </w:p>
          <w:p w:rsidR="00DC1C91" w:rsidRPr="00FB52A2" w:rsidRDefault="00DC1C91" w:rsidP="00490EEE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490EEE">
              <w:rPr>
                <w:rFonts w:ascii="Arial" w:hAnsi="Arial" w:cs="Arial"/>
                <w:sz w:val="18"/>
                <w:szCs w:val="18"/>
              </w:rPr>
              <w:t xml:space="preserve">Sensitive activities, </w:t>
            </w:r>
            <w:r w:rsidR="00A27D39" w:rsidRPr="00FB52A2">
              <w:rPr>
                <w:rFonts w:ascii="Arial" w:hAnsi="Arial" w:cs="Arial"/>
                <w:sz w:val="18"/>
                <w:szCs w:val="18"/>
              </w:rPr>
              <w:t xml:space="preserve">buildings </w:t>
            </w:r>
            <w:r w:rsidR="00490EEE">
              <w:rPr>
                <w:rFonts w:ascii="Arial" w:hAnsi="Arial" w:cs="Arial"/>
                <w:sz w:val="18"/>
                <w:szCs w:val="18"/>
              </w:rPr>
              <w:t xml:space="preserve">and fences </w:t>
            </w:r>
            <w:r w:rsidR="00A27D39" w:rsidRPr="00FB52A2">
              <w:rPr>
                <w:rFonts w:ascii="Arial" w:hAnsi="Arial" w:cs="Arial"/>
                <w:sz w:val="18"/>
                <w:szCs w:val="18"/>
              </w:rPr>
              <w:t xml:space="preserve">within setbacks from specified electricity distribution lines or support structures. </w:t>
            </w:r>
          </w:p>
        </w:tc>
        <w:tc>
          <w:tcPr>
            <w:tcW w:w="2865" w:type="dxa"/>
            <w:shd w:val="clear" w:color="auto" w:fill="auto"/>
          </w:tcPr>
          <w:p w:rsidR="00DC1C91" w:rsidRPr="00FB52A2" w:rsidRDefault="00DC1C91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C1C91" w:rsidRPr="00FB52A2" w:rsidRDefault="00DC1C91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2924" w:rsidRDefault="002829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61"/>
        <w:gridCol w:w="565"/>
        <w:gridCol w:w="5107"/>
        <w:gridCol w:w="2866"/>
      </w:tblGrid>
      <w:tr w:rsidR="00282924" w:rsidRPr="00E84A21" w:rsidTr="00DF0033">
        <w:trPr>
          <w:cantSplit/>
          <w:trHeight w:val="291"/>
          <w:tblHeader/>
        </w:trPr>
        <w:tc>
          <w:tcPr>
            <w:tcW w:w="9628" w:type="dxa"/>
            <w:gridSpan w:val="5"/>
            <w:shd w:val="clear" w:color="auto" w:fill="00B050"/>
            <w:vAlign w:val="center"/>
          </w:tcPr>
          <w:p w:rsidR="00282924" w:rsidRPr="00E84A21" w:rsidRDefault="00282924" w:rsidP="00E84A21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BUILT FORM STANDARDS</w:t>
            </w:r>
          </w:p>
        </w:tc>
      </w:tr>
      <w:tr w:rsidR="00282924" w:rsidRPr="00FB52A2" w:rsidTr="00DF2377">
        <w:trPr>
          <w:cantSplit/>
          <w:trHeight w:val="265"/>
          <w:tblHeader/>
        </w:trPr>
        <w:tc>
          <w:tcPr>
            <w:tcW w:w="1655" w:type="dxa"/>
            <w:gridSpan w:val="3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66" w:type="dxa"/>
            <w:vMerge w:val="restart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282924" w:rsidRPr="00FB52A2" w:rsidTr="00DF2377">
        <w:trPr>
          <w:cantSplit/>
          <w:trHeight w:val="336"/>
          <w:tblHeader/>
        </w:trPr>
        <w:tc>
          <w:tcPr>
            <w:tcW w:w="529" w:type="dxa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07" w:type="dxa"/>
            <w:vMerge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vMerge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266" w:rsidRPr="00FB52A2" w:rsidTr="00DF2377">
        <w:tc>
          <w:tcPr>
            <w:tcW w:w="529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61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65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107" w:type="dxa"/>
            <w:shd w:val="clear" w:color="auto" w:fill="auto"/>
          </w:tcPr>
          <w:p w:rsidR="000A5E19" w:rsidRPr="00FB52A2" w:rsidRDefault="006B6FA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sz w:val="18"/>
                <w:szCs w:val="18"/>
              </w:rPr>
              <w:t>10.2</w:t>
            </w:r>
            <w:r w:rsidRPr="00FB52A2">
              <w:rPr>
                <w:rFonts w:ascii="Arial" w:hAnsi="Arial" w:cs="Arial"/>
                <w:sz w:val="18"/>
                <w:szCs w:val="18"/>
              </w:rPr>
              <w:t>.1 Site density</w:t>
            </w:r>
            <w:r w:rsidR="000A5E19"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-</w:t>
            </w:r>
          </w:p>
          <w:p w:rsidR="00490EEE" w:rsidRDefault="009039AE" w:rsidP="00490EE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="003556D9">
              <w:rPr>
                <w:rFonts w:ascii="Arial" w:hAnsi="Arial" w:cs="Arial"/>
                <w:b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0</w:t>
            </w:r>
            <w:r w:rsidR="002034C9" w:rsidRPr="00FB52A2">
              <w:rPr>
                <w:rFonts w:ascii="Arial" w:hAnsi="Arial" w:cs="Arial"/>
                <w:b w:val="0"/>
                <w:sz w:val="18"/>
                <w:szCs w:val="18"/>
              </w:rPr>
              <w:t>0m</w:t>
            </w:r>
            <w:r w:rsidR="002034C9" w:rsidRPr="00FB52A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="002034C9"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in R</w:t>
            </w:r>
            <w:r w:rsidR="003556D9">
              <w:rPr>
                <w:rFonts w:ascii="Arial" w:hAnsi="Arial" w:cs="Arial"/>
                <w:b w:val="0"/>
                <w:sz w:val="18"/>
                <w:szCs w:val="18"/>
              </w:rPr>
              <w:t>SS</w:t>
            </w:r>
            <w:r w:rsidR="002034C9"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zone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except as specified below</w:t>
            </w:r>
            <w:r w:rsidR="002034C9"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; </w:t>
            </w:r>
          </w:p>
          <w:p w:rsidR="002034C9" w:rsidRPr="003556D9" w:rsidRDefault="003556D9" w:rsidP="00490EE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Allotments created before Oct 2014 500&lt;1000m</w:t>
            </w:r>
            <w:r w:rsidRPr="003556D9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, or RSS in </w:t>
            </w:r>
            <w:r w:rsidRPr="00834D50">
              <w:rPr>
                <w:rFonts w:ascii="Arial" w:hAnsi="Arial" w:cs="Arial"/>
                <w:b w:val="0"/>
                <w:sz w:val="18"/>
                <w:szCs w:val="18"/>
              </w:rPr>
              <w:t>Appendix 8.</w:t>
            </w:r>
            <w:r w:rsidR="004035B3">
              <w:rPr>
                <w:rFonts w:ascii="Arial" w:hAnsi="Arial" w:cs="Arial"/>
                <w:b w:val="0"/>
                <w:sz w:val="18"/>
                <w:szCs w:val="18"/>
              </w:rPr>
              <w:t>10</w:t>
            </w:r>
            <w:r w:rsidR="00834D50" w:rsidRPr="00834D50">
              <w:rPr>
                <w:rFonts w:ascii="Arial" w:hAnsi="Arial" w:cs="Arial"/>
                <w:b w:val="0"/>
                <w:sz w:val="18"/>
                <w:szCs w:val="18"/>
              </w:rPr>
              <w:t>.10</w:t>
            </w:r>
            <w:r w:rsidR="004035B3">
              <w:rPr>
                <w:rFonts w:ascii="Arial" w:hAnsi="Arial" w:cs="Arial"/>
                <w:b w:val="0"/>
                <w:sz w:val="18"/>
                <w:szCs w:val="18"/>
              </w:rPr>
              <w:t xml:space="preserve"> Takamatua ODP or</w:t>
            </w:r>
            <w:r w:rsidRPr="00834D50">
              <w:rPr>
                <w:rFonts w:ascii="Arial" w:hAnsi="Arial" w:cs="Arial"/>
                <w:b w:val="0"/>
                <w:sz w:val="18"/>
                <w:szCs w:val="18"/>
              </w:rPr>
              <w:t xml:space="preserve"> 1 Lushingtons Rd/6 Kotare Lane: max 1 residential unit/site</w:t>
            </w:r>
          </w:p>
          <w:p w:rsidR="00490EEE" w:rsidRDefault="003556D9" w:rsidP="00490EE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450</w:t>
            </w:r>
            <w:r w:rsidR="00490EEE">
              <w:rPr>
                <w:rFonts w:ascii="Arial" w:hAnsi="Arial" w:cs="Arial"/>
                <w:b w:val="0"/>
                <w:sz w:val="18"/>
                <w:szCs w:val="18"/>
              </w:rPr>
              <w:t>m</w:t>
            </w:r>
            <w:r w:rsidR="00490EEE" w:rsidRPr="00490EEE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="009039AE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Kainga</w:t>
            </w:r>
            <w:r w:rsidR="009039AE">
              <w:rPr>
                <w:rFonts w:ascii="Arial" w:hAnsi="Arial" w:cs="Arial"/>
                <w:b w:val="0"/>
                <w:sz w:val="18"/>
                <w:szCs w:val="18"/>
              </w:rPr>
              <w:t xml:space="preserve"> Density Overlay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Area 1 and 2</w:t>
            </w:r>
          </w:p>
          <w:p w:rsidR="00490EEE" w:rsidRPr="00490EEE" w:rsidRDefault="0068662F" w:rsidP="00490EE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</w:t>
            </w:r>
            <w:r w:rsidR="00490EEE">
              <w:rPr>
                <w:rFonts w:ascii="Arial" w:hAnsi="Arial" w:cs="Arial"/>
                <w:b w:val="0"/>
                <w:sz w:val="18"/>
                <w:szCs w:val="18"/>
              </w:rPr>
              <w:t>lder persons housing units and retirement villages - no minimum net site area</w:t>
            </w:r>
          </w:p>
        </w:tc>
        <w:tc>
          <w:tcPr>
            <w:tcW w:w="2866" w:type="dxa"/>
            <w:shd w:val="clear" w:color="auto" w:fill="auto"/>
          </w:tcPr>
          <w:p w:rsidR="00D50266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:rsidR="00AB5828" w:rsidRDefault="00AB582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AB5828" w:rsidRDefault="00AB582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AB5828" w:rsidRDefault="00AB582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AB5828" w:rsidRPr="00FB52A2" w:rsidRDefault="00AB5828" w:rsidP="00CC224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50266" w:rsidRPr="00FB52A2" w:rsidTr="00DF2377">
        <w:tc>
          <w:tcPr>
            <w:tcW w:w="529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1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65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107" w:type="dxa"/>
            <w:shd w:val="clear" w:color="auto" w:fill="auto"/>
          </w:tcPr>
          <w:p w:rsidR="00601712" w:rsidRDefault="006B6FA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</w:t>
            </w:r>
            <w:r w:rsidR="004035B3">
              <w:rPr>
                <w:rFonts w:ascii="Arial" w:hAnsi="Arial" w:cs="Arial"/>
                <w:sz w:val="18"/>
                <w:szCs w:val="18"/>
              </w:rPr>
              <w:t>.10.2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 w:rsidR="00490EEE">
              <w:rPr>
                <w:rFonts w:ascii="Arial" w:hAnsi="Arial" w:cs="Arial"/>
                <w:sz w:val="18"/>
                <w:szCs w:val="18"/>
              </w:rPr>
              <w:t>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Building height</w:t>
            </w:r>
            <w:r w:rsidR="0060171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DD0143" w:rsidRDefault="002034C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8m</w:t>
            </w:r>
          </w:p>
          <w:p w:rsidR="00601712" w:rsidRDefault="003556D9" w:rsidP="003556D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Accessory buildings</w:t>
            </w:r>
            <w:r w:rsidR="0060171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4</w:t>
            </w:r>
            <w:r w:rsidR="00601712">
              <w:rPr>
                <w:rFonts w:ascii="Arial" w:hAnsi="Arial" w:cs="Arial"/>
                <w:b w:val="0"/>
                <w:sz w:val="18"/>
                <w:szCs w:val="18"/>
              </w:rPr>
              <w:t>.5m</w:t>
            </w:r>
          </w:p>
          <w:p w:rsidR="003556D9" w:rsidRPr="00FB52A2" w:rsidRDefault="003556D9" w:rsidP="003556D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Buildings in Kainga Overlay Area 2 5m</w:t>
            </w:r>
          </w:p>
        </w:tc>
        <w:tc>
          <w:tcPr>
            <w:tcW w:w="2866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50266" w:rsidRPr="00FB52A2" w:rsidTr="00DF2377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:rsidR="000A5E19" w:rsidRPr="00FB52A2" w:rsidRDefault="00490EE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sz w:val="18"/>
                <w:szCs w:val="18"/>
              </w:rPr>
              <w:t>10.2</w:t>
            </w:r>
            <w:r>
              <w:rPr>
                <w:rFonts w:ascii="Arial" w:hAnsi="Arial" w:cs="Arial"/>
                <w:sz w:val="18"/>
                <w:szCs w:val="18"/>
              </w:rPr>
              <w:t>.3</w:t>
            </w:r>
            <w:r w:rsidR="000A5E19" w:rsidRPr="00FB52A2">
              <w:rPr>
                <w:rFonts w:ascii="Arial" w:hAnsi="Arial" w:cs="Arial"/>
                <w:sz w:val="18"/>
                <w:szCs w:val="18"/>
              </w:rPr>
              <w:t xml:space="preserve"> Site coverage</w:t>
            </w:r>
          </w:p>
          <w:p w:rsidR="00D50266" w:rsidRDefault="00F01ADF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RSS </w:t>
            </w:r>
            <w:r w:rsidR="000A5E19" w:rsidRPr="00601712">
              <w:rPr>
                <w:rFonts w:ascii="Arial" w:hAnsi="Arial" w:cs="Arial"/>
                <w:b w:val="0"/>
                <w:sz w:val="18"/>
                <w:szCs w:val="18"/>
              </w:rPr>
              <w:t>M</w:t>
            </w:r>
            <w:r w:rsidR="002034C9" w:rsidRPr="00601712">
              <w:rPr>
                <w:rFonts w:ascii="Arial" w:hAnsi="Arial" w:cs="Arial"/>
                <w:b w:val="0"/>
                <w:sz w:val="18"/>
                <w:szCs w:val="18"/>
              </w:rPr>
              <w:t xml:space="preserve">ax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25</w:t>
            </w:r>
            <w:r w:rsidR="0068662F">
              <w:rPr>
                <w:rFonts w:ascii="Arial" w:hAnsi="Arial" w:cs="Arial"/>
                <w:b w:val="0"/>
                <w:sz w:val="18"/>
                <w:szCs w:val="18"/>
              </w:rPr>
              <w:t xml:space="preserve">% </w:t>
            </w:r>
            <w:r w:rsidR="002034C9" w:rsidRPr="00601712">
              <w:rPr>
                <w:rFonts w:ascii="Arial" w:hAnsi="Arial" w:cs="Arial"/>
                <w:b w:val="0"/>
                <w:sz w:val="18"/>
                <w:szCs w:val="18"/>
              </w:rPr>
              <w:t xml:space="preserve">of net site area </w:t>
            </w:r>
            <w:r w:rsidR="0068662F">
              <w:rPr>
                <w:rFonts w:ascii="Arial" w:hAnsi="Arial" w:cs="Arial"/>
                <w:b w:val="0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250</w:t>
            </w:r>
            <w:r w:rsidR="0068662F">
              <w:rPr>
                <w:rFonts w:ascii="Arial" w:hAnsi="Arial" w:cs="Arial"/>
                <w:b w:val="0"/>
                <w:sz w:val="18"/>
                <w:szCs w:val="18"/>
              </w:rPr>
              <w:t>m</w:t>
            </w:r>
            <w:r w:rsidR="0068662F" w:rsidRPr="0068662F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="0068662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of ground floor area to a total max of 350m</w:t>
            </w:r>
            <w:r w:rsidRPr="004035B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total floor areas </w:t>
            </w:r>
            <w:r w:rsidR="0068662F">
              <w:rPr>
                <w:rFonts w:ascii="Arial" w:hAnsi="Arial" w:cs="Arial"/>
                <w:b w:val="0"/>
                <w:sz w:val="18"/>
                <w:szCs w:val="18"/>
              </w:rPr>
              <w:t>whichever is the lesser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, except</w:t>
            </w:r>
          </w:p>
          <w:p w:rsidR="00F01ADF" w:rsidRDefault="00F01ADF" w:rsidP="00F01AD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Kainga</w:t>
            </w:r>
            <w:r w:rsidR="00DF0033">
              <w:rPr>
                <w:rFonts w:ascii="Arial" w:hAnsi="Arial" w:cs="Arial"/>
                <w:b w:val="0"/>
                <w:sz w:val="18"/>
                <w:szCs w:val="18"/>
              </w:rPr>
              <w:t xml:space="preserve"> Overlay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Area 2 4</w:t>
            </w:r>
            <w:r w:rsidR="00DF0033">
              <w:rPr>
                <w:rFonts w:ascii="Arial" w:hAnsi="Arial" w:cs="Arial"/>
                <w:b w:val="0"/>
                <w:sz w:val="18"/>
                <w:szCs w:val="18"/>
              </w:rPr>
              <w:t xml:space="preserve">0% </w:t>
            </w:r>
          </w:p>
          <w:p w:rsidR="002034C9" w:rsidRPr="00FB52A2" w:rsidRDefault="002034C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Excludes fences, walls, retaining walls; eaves and overhangs up to 600mm from the wall; uncovered pools up to 800mm above GL; decks, balconies, bay windows, etc no more than 800mm above GL if uncovered, or if covered and/or more than 800mm above GL the max total area per site is 6m</w:t>
            </w:r>
            <w:r w:rsidRPr="00FB52A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:rsidTr="00DF2377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02286" w:rsidRPr="00DF0033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F00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0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00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902286" w:rsidRPr="00DF0033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F00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0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00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902286" w:rsidRPr="00DF0033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F00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0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00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:rsidR="00F01ADF" w:rsidRDefault="00612051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0033">
              <w:rPr>
                <w:rFonts w:ascii="Arial" w:hAnsi="Arial" w:cs="Arial"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sz w:val="18"/>
                <w:szCs w:val="18"/>
              </w:rPr>
              <w:t>10.2.</w:t>
            </w:r>
            <w:r w:rsidR="00490EEE" w:rsidRPr="00DF0033">
              <w:rPr>
                <w:rFonts w:ascii="Arial" w:hAnsi="Arial" w:cs="Arial"/>
                <w:sz w:val="18"/>
                <w:szCs w:val="18"/>
              </w:rPr>
              <w:t>4</w:t>
            </w:r>
            <w:r w:rsidRPr="00DF0033">
              <w:rPr>
                <w:rFonts w:ascii="Arial" w:hAnsi="Arial" w:cs="Arial"/>
                <w:sz w:val="18"/>
                <w:szCs w:val="18"/>
              </w:rPr>
              <w:t xml:space="preserve"> Recession plane</w:t>
            </w:r>
          </w:p>
          <w:p w:rsidR="00F01ADF" w:rsidRDefault="00F01ADF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34D50">
              <w:rPr>
                <w:rFonts w:ascii="Arial" w:hAnsi="Arial" w:cs="Arial"/>
                <w:b w:val="0"/>
                <w:sz w:val="18"/>
                <w:szCs w:val="18"/>
              </w:rPr>
              <w:t xml:space="preserve">45 degrees </w:t>
            </w:r>
            <w:r w:rsidR="00834D50" w:rsidRPr="00834D50">
              <w:rPr>
                <w:rFonts w:ascii="Arial" w:hAnsi="Arial" w:cs="Arial"/>
                <w:b w:val="0"/>
                <w:sz w:val="18"/>
                <w:szCs w:val="18"/>
              </w:rPr>
              <w:t xml:space="preserve">2m </w:t>
            </w:r>
            <w:r w:rsidRPr="00834D50">
              <w:rPr>
                <w:rFonts w:ascii="Arial" w:hAnsi="Arial" w:cs="Arial"/>
                <w:b w:val="0"/>
                <w:sz w:val="18"/>
                <w:szCs w:val="18"/>
              </w:rPr>
              <w:t>above any site boundary not a road boundary</w:t>
            </w:r>
          </w:p>
          <w:p w:rsidR="00601712" w:rsidRDefault="00F01ADF" w:rsidP="004035B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Kainga Overlay Area 1 and 2, Spencerville Overlay Area Appendix 14.1</w:t>
            </w:r>
            <w:r w:rsidR="004035B3">
              <w:rPr>
                <w:rFonts w:ascii="Arial" w:hAnsi="Arial" w:cs="Arial"/>
                <w:b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.2 Diagram A</w:t>
            </w:r>
          </w:p>
          <w:p w:rsidR="007C701F" w:rsidRPr="00DF0033" w:rsidRDefault="007C701F" w:rsidP="004035B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FMA exemptions apply for sites in FMAs – rule 5.4.1.3 for activities P1-P4 in Table 5.4.1.1b; Rule 5.4.2.3 for activities P1-P5 in Table 5.4.2.1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:rsidR="00AA1CEE" w:rsidRDefault="00AA1CEE" w:rsidP="00C85D8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Boundary rule if not adjoining public land</w:t>
            </w:r>
          </w:p>
          <w:p w:rsidR="00F01ADF" w:rsidRPr="00DF0033" w:rsidRDefault="00834D50" w:rsidP="00C85D8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:rsidTr="00DF2377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902286" w:rsidRPr="00F01ADF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1A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A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1A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:rsidR="00612051" w:rsidRPr="00F01ADF" w:rsidRDefault="00612051" w:rsidP="00916EA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1ADF">
              <w:rPr>
                <w:rFonts w:ascii="Arial" w:hAnsi="Arial" w:cs="Arial"/>
                <w:sz w:val="18"/>
                <w:szCs w:val="18"/>
              </w:rPr>
              <w:t>14.</w:t>
            </w:r>
            <w:r w:rsidR="007C701F">
              <w:rPr>
                <w:rFonts w:ascii="Arial" w:hAnsi="Arial" w:cs="Arial"/>
                <w:sz w:val="18"/>
                <w:szCs w:val="18"/>
              </w:rPr>
              <w:t>10.2</w:t>
            </w:r>
            <w:r w:rsidRPr="00F01ADF">
              <w:rPr>
                <w:rFonts w:ascii="Arial" w:hAnsi="Arial" w:cs="Arial"/>
                <w:sz w:val="18"/>
                <w:szCs w:val="18"/>
              </w:rPr>
              <w:t>.</w:t>
            </w:r>
            <w:r w:rsidR="00817057" w:rsidRPr="00F01ADF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F01ADF">
              <w:rPr>
                <w:rFonts w:ascii="Arial" w:hAnsi="Arial" w:cs="Arial"/>
                <w:sz w:val="18"/>
                <w:szCs w:val="18"/>
              </w:rPr>
              <w:t xml:space="preserve">Setback from internal boundaries </w:t>
            </w:r>
          </w:p>
          <w:p w:rsidR="00F01ADF" w:rsidRPr="00F01ADF" w:rsidRDefault="00F01ADF" w:rsidP="00F01AD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1ADF">
              <w:rPr>
                <w:rFonts w:ascii="Arial" w:hAnsi="Arial" w:cs="Arial"/>
                <w:b w:val="0"/>
                <w:sz w:val="18"/>
                <w:szCs w:val="18"/>
              </w:rPr>
              <w:t>3m side and rear internal</w:t>
            </w:r>
          </w:p>
          <w:p w:rsidR="00F01ADF" w:rsidRPr="00F01ADF" w:rsidRDefault="00F01ADF" w:rsidP="00F01AD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1ADF">
              <w:rPr>
                <w:rFonts w:ascii="Arial" w:hAnsi="Arial" w:cs="Arial"/>
                <w:b w:val="0"/>
                <w:sz w:val="18"/>
                <w:szCs w:val="18"/>
              </w:rPr>
              <w:t>2m Side and rear internal boundaries Kainga Overlay Areas 1 and 2</w:t>
            </w:r>
          </w:p>
          <w:p w:rsidR="007C701F" w:rsidRPr="00F01ADF" w:rsidRDefault="00F01ADF" w:rsidP="007C70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1ADF">
              <w:rPr>
                <w:rFonts w:ascii="Arial" w:hAnsi="Arial" w:cs="Arial"/>
                <w:b w:val="0"/>
                <w:sz w:val="18"/>
                <w:szCs w:val="18"/>
              </w:rPr>
              <w:t>No minimum setback for accessory buildings where the wall length within the setback is &lt;6m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:rsidR="00AA1CEE" w:rsidRPr="00AA1CEE" w:rsidRDefault="00AA1CE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A1CEE"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Boundary rule if not adjoining public land</w:t>
            </w:r>
          </w:p>
          <w:p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:rsidTr="00DF2377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:rsidR="0070682F" w:rsidRPr="00FB52A2" w:rsidRDefault="00F03232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7C701F">
              <w:rPr>
                <w:rFonts w:ascii="Arial" w:hAnsi="Arial" w:cs="Arial"/>
                <w:sz w:val="18"/>
                <w:szCs w:val="18"/>
              </w:rPr>
              <w:t>10.2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 w:rsidR="00DF0033">
              <w:rPr>
                <w:rFonts w:ascii="Arial" w:hAnsi="Arial" w:cs="Arial"/>
                <w:sz w:val="18"/>
                <w:szCs w:val="18"/>
              </w:rPr>
              <w:t>6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Road boundary setback</w:t>
            </w:r>
          </w:p>
          <w:p w:rsidR="00DF0033" w:rsidRDefault="00DF0033" w:rsidP="00DF003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Building with ga</w:t>
            </w:r>
            <w:r w:rsidR="00F01ADF">
              <w:rPr>
                <w:rFonts w:ascii="Arial" w:hAnsi="Arial" w:cs="Arial"/>
                <w:b w:val="0"/>
                <w:sz w:val="18"/>
                <w:szCs w:val="18"/>
              </w:rPr>
              <w:t>rage vehicle door facing road 5m</w:t>
            </w:r>
          </w:p>
          <w:p w:rsidR="00DF0033" w:rsidRDefault="00DF0033" w:rsidP="00DF003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Buildings without garage vehicle door facing road </w:t>
            </w:r>
            <w:r w:rsidR="00F01ADF">
              <w:rPr>
                <w:rFonts w:ascii="Arial" w:hAnsi="Arial" w:cs="Arial"/>
                <w:b w:val="0"/>
                <w:sz w:val="18"/>
                <w:szCs w:val="18"/>
              </w:rPr>
              <w:t>4.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5m</w:t>
            </w:r>
          </w:p>
          <w:p w:rsidR="00120289" w:rsidRPr="00FB52A2" w:rsidRDefault="00DF0033" w:rsidP="00290FB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All buildings in </w:t>
            </w:r>
            <w:r w:rsidR="00F01ADF">
              <w:rPr>
                <w:rFonts w:ascii="Arial" w:hAnsi="Arial" w:cs="Arial"/>
                <w:b w:val="0"/>
                <w:sz w:val="18"/>
                <w:szCs w:val="18"/>
              </w:rPr>
              <w:t>Kainga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290FBA">
              <w:rPr>
                <w:rFonts w:ascii="Arial" w:hAnsi="Arial" w:cs="Arial"/>
                <w:b w:val="0"/>
                <w:sz w:val="18"/>
                <w:szCs w:val="18"/>
              </w:rPr>
              <w:t>Overlay Area 2 3m from common boundary of leased land and internal road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A4196" w:rsidRPr="00FB52A2" w:rsidTr="00DF2377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:rsidR="00FA4196" w:rsidRDefault="00FA4196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7C701F">
              <w:rPr>
                <w:rFonts w:ascii="Arial" w:hAnsi="Arial" w:cs="Arial"/>
                <w:sz w:val="18"/>
                <w:szCs w:val="18"/>
              </w:rPr>
              <w:t>10.2</w:t>
            </w:r>
            <w:r w:rsidR="00DF003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Building reflectivity</w:t>
            </w:r>
            <w:r w:rsidR="00DF0033">
              <w:rPr>
                <w:rFonts w:ascii="Arial" w:hAnsi="Arial" w:cs="Arial"/>
                <w:sz w:val="18"/>
                <w:szCs w:val="18"/>
              </w:rPr>
              <w:t xml:space="preserve"> and colour</w:t>
            </w:r>
          </w:p>
          <w:p w:rsidR="00604760" w:rsidRPr="00FA4196" w:rsidRDefault="00FA4196" w:rsidP="00DF237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4196">
              <w:rPr>
                <w:rFonts w:ascii="Arial" w:hAnsi="Arial" w:cs="Arial"/>
                <w:b w:val="0"/>
                <w:sz w:val="18"/>
                <w:szCs w:val="18"/>
              </w:rPr>
              <w:t>All roof finishes not to exceed 30% light reflectance value (LRV)</w:t>
            </w:r>
            <w:r w:rsidR="0060476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shd w:val="clear" w:color="auto" w:fill="auto"/>
          </w:tcPr>
          <w:p w:rsidR="00FA4196" w:rsidRPr="00FB52A2" w:rsidRDefault="00FA4196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120289" w:rsidRPr="00FB52A2" w:rsidTr="00DF2377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120289" w:rsidRPr="00FB52A2" w:rsidRDefault="0012028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120289" w:rsidRPr="00FB52A2" w:rsidRDefault="0012028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120289" w:rsidRPr="00FB52A2" w:rsidRDefault="0012028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:rsidR="00120289" w:rsidRPr="00FB52A2" w:rsidRDefault="0012028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7C701F">
              <w:rPr>
                <w:rFonts w:ascii="Arial" w:hAnsi="Arial" w:cs="Arial"/>
                <w:sz w:val="18"/>
                <w:szCs w:val="18"/>
              </w:rPr>
              <w:t>10.2</w:t>
            </w:r>
            <w:r w:rsidR="00604760">
              <w:rPr>
                <w:rFonts w:ascii="Arial" w:hAnsi="Arial" w:cs="Arial"/>
                <w:sz w:val="18"/>
                <w:szCs w:val="18"/>
              </w:rPr>
              <w:t>.8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Water supply for fire fighting</w:t>
            </w:r>
          </w:p>
          <w:p w:rsidR="001031CC" w:rsidRPr="00FB52A2" w:rsidRDefault="00C54CA2" w:rsidP="00DF237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All residential units - via </w:t>
            </w:r>
            <w:r w:rsidR="00EE3BCC"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the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reticulated system and </w:t>
            </w:r>
            <w:r w:rsidR="00EE3BCC"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in accordance with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Code of Practice</w:t>
            </w:r>
            <w:r w:rsidR="00604760">
              <w:rPr>
                <w:rFonts w:ascii="Arial" w:hAnsi="Arial" w:cs="Arial"/>
                <w:b w:val="0"/>
                <w:sz w:val="18"/>
                <w:szCs w:val="18"/>
              </w:rPr>
              <w:t xml:space="preserve"> or alternative firefighting water sources provisions of Code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2866" w:type="dxa"/>
            <w:shd w:val="clear" w:color="auto" w:fill="auto"/>
          </w:tcPr>
          <w:p w:rsidR="00120289" w:rsidRPr="00FB52A2" w:rsidRDefault="0012028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282924" w:rsidRDefault="00282924" w:rsidP="00282924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58"/>
        <w:gridCol w:w="564"/>
        <w:gridCol w:w="5025"/>
        <w:gridCol w:w="2839"/>
      </w:tblGrid>
      <w:tr w:rsidR="007C701F" w:rsidRPr="00E84A21" w:rsidTr="0070771F">
        <w:trPr>
          <w:cantSplit/>
          <w:trHeight w:val="291"/>
          <w:tblHeader/>
        </w:trPr>
        <w:tc>
          <w:tcPr>
            <w:tcW w:w="9628" w:type="dxa"/>
            <w:gridSpan w:val="5"/>
            <w:shd w:val="clear" w:color="auto" w:fill="287888"/>
            <w:vAlign w:val="center"/>
          </w:tcPr>
          <w:p w:rsidR="007C701F" w:rsidRPr="00E84A21" w:rsidRDefault="007C701F" w:rsidP="0070771F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CHAPTER 7 - TRANSPORT RULES</w:t>
            </w:r>
          </w:p>
        </w:tc>
      </w:tr>
      <w:tr w:rsidR="007C701F" w:rsidRPr="00FB52A2" w:rsidTr="0070771F">
        <w:trPr>
          <w:cantSplit/>
          <w:trHeight w:val="265"/>
          <w:tblHeader/>
        </w:trPr>
        <w:tc>
          <w:tcPr>
            <w:tcW w:w="1657" w:type="dxa"/>
            <w:gridSpan w:val="3"/>
            <w:shd w:val="clear" w:color="auto" w:fill="auto"/>
            <w:vAlign w:val="center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097" w:type="dxa"/>
            <w:vMerge w:val="restart"/>
            <w:shd w:val="clear" w:color="auto" w:fill="auto"/>
            <w:vAlign w:val="center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7C701F" w:rsidRPr="00FB52A2" w:rsidTr="0070771F">
        <w:trPr>
          <w:cantSplit/>
          <w:trHeight w:val="336"/>
          <w:tblHeader/>
        </w:trPr>
        <w:tc>
          <w:tcPr>
            <w:tcW w:w="531" w:type="dxa"/>
            <w:shd w:val="clear" w:color="auto" w:fill="auto"/>
            <w:vAlign w:val="center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97" w:type="dxa"/>
            <w:vMerge/>
            <w:shd w:val="clear" w:color="auto" w:fill="auto"/>
            <w:vAlign w:val="center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01F" w:rsidRPr="00FB52A2" w:rsidTr="0070771F">
        <w:tc>
          <w:tcPr>
            <w:tcW w:w="9628" w:type="dxa"/>
            <w:gridSpan w:val="5"/>
            <w:shd w:val="clear" w:color="auto" w:fill="E6E6E6"/>
            <w:vAlign w:val="center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263E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C263E2">
              <w:rPr>
                <w:rFonts w:ascii="Arial" w:hAnsi="Arial" w:cs="Arial"/>
                <w:sz w:val="18"/>
                <w:szCs w:val="18"/>
              </w:rPr>
              <w:t xml:space="preserve"> Rules</w:t>
            </w:r>
          </w:p>
        </w:tc>
      </w:tr>
      <w:tr w:rsidR="007C701F" w:rsidRPr="00FB52A2" w:rsidTr="0070771F">
        <w:tc>
          <w:tcPr>
            <w:tcW w:w="531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>Minimum number of car parks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As per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5.1.1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in Appendix 7.5.1</w:t>
            </w:r>
          </w:p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Permitted reductions are in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14.</w:t>
            </w:r>
          </w:p>
        </w:tc>
        <w:tc>
          <w:tcPr>
            <w:tcW w:w="2874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70771F">
        <w:tc>
          <w:tcPr>
            <w:tcW w:w="531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>Minimum dimension of car parks</w:t>
            </w:r>
          </w:p>
          <w:p w:rsidR="007C701F" w:rsidRPr="00FB52A2" w:rsidRDefault="007C701F" w:rsidP="00BA51D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Where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car parks are available to the general public,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5.1.3</w:t>
            </w:r>
          </w:p>
        </w:tc>
        <w:tc>
          <w:tcPr>
            <w:tcW w:w="2874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Mobility car parks </w:t>
            </w:r>
          </w:p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Buildings with GFA &gt; 2,500m</w:t>
            </w:r>
            <w:r w:rsidRPr="00FB52A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2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and other activities where standard parks are provided (except residential developments with less than 3 units),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5.1.2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P2  7.4.3.2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Minimum number of cycle parking facilities</w:t>
            </w:r>
          </w:p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All activities,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2.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P3  7.4.3.3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Minimum number of loading spaces</w:t>
            </w:r>
          </w:p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 where standard car parks are provided,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3.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P4  7.4.3.4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Manoeuvring for parking and loading areas </w:t>
            </w:r>
          </w:p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n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-site manoeuvring area for all activities with a vehicle access Appendix 7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.5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.6</w:t>
            </w:r>
          </w:p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On-site vehicle manoeuvring area to ensure forward movement off site - all activities with access to arterial road; access to collector road where 3 or more parking spaces provided; access to 6 or more parking spaces; access to a heavy vehicle bay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P5  7.4.3.5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Gradient of parking and loading areas </w:t>
            </w:r>
          </w:p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 7.4.3.6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Design of parking and loading areas</w:t>
            </w:r>
          </w:p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Lighting - non-residential activities with parking/loading areas used during darkness.</w:t>
            </w:r>
          </w:p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Formed, sealed, drained and marked out - any urban activity except residential with less than 3 car parks; sites with access off unsealed road; temporary activities.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70771F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7 </w:t>
            </w:r>
            <w:r>
              <w:rPr>
                <w:rFonts w:ascii="Arial" w:hAnsi="Arial" w:cs="Arial"/>
                <w:sz w:val="18"/>
                <w:szCs w:val="18"/>
              </w:rPr>
              <w:t xml:space="preserve">  7.4.3.7 </w:t>
            </w:r>
            <w:r w:rsidRPr="00FB52A2">
              <w:rPr>
                <w:rFonts w:ascii="Arial" w:hAnsi="Arial" w:cs="Arial"/>
                <w:sz w:val="18"/>
                <w:szCs w:val="18"/>
              </w:rPr>
              <w:t>Access design</w:t>
            </w:r>
          </w:p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Access standards - all activities with vehicle access,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7.</w:t>
            </w:r>
          </w:p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Queue space - 4 or more car parks or residential units,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8.</w:t>
            </w:r>
          </w:p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Pedestrian warning system or visibility splay Appendix 7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.5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.9 - access to urban road serving more than 15 car parks or more than 10 HVM per day, and/or on key pedestrian frontage.</w:t>
            </w:r>
          </w:p>
        </w:tc>
        <w:tc>
          <w:tcPr>
            <w:tcW w:w="2874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70771F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P8  7.4.3.8</w:t>
            </w:r>
            <w:r w:rsidRPr="00FB52A2">
              <w:rPr>
                <w:rFonts w:ascii="Arial" w:hAnsi="Arial" w:cs="Arial"/>
                <w:sz w:val="18"/>
                <w:szCs w:val="18"/>
              </w:rPr>
              <w:t>(a) Provision of vehicle crossings</w:t>
            </w:r>
          </w:p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874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70771F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 </w:t>
            </w:r>
            <w:r w:rsidRPr="00FB52A2">
              <w:rPr>
                <w:rFonts w:ascii="Arial" w:hAnsi="Arial" w:cs="Arial"/>
                <w:sz w:val="18"/>
                <w:szCs w:val="18"/>
              </w:rPr>
              <w:t>(b) &amp; (c) Design of vehicle crossings</w:t>
            </w:r>
          </w:p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Arterial road or collector road with speed limit 70km/hr or more, and rural selling places,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10</w:t>
            </w:r>
          </w:p>
        </w:tc>
        <w:tc>
          <w:tcPr>
            <w:tcW w:w="2874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C701F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(d) Spacing of vehicle crossings</w:t>
            </w:r>
          </w:p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On roads with speed limit 70 km/hr or more,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5.11 Table 7.5.11.1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(e) Maximum number of vehicle crossings</w:t>
            </w:r>
          </w:p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ivities Appendix 7.5.11 Table 7.5.11.2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(f) Distance between vehicle crossings and intersections</w:t>
            </w:r>
          </w:p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tivities Appendix 7.5.11 Table 7.5.11.4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P8 7.2.3.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8(g) Sightlines for crossings on rural roads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Appendix 7.11 Fig 7.15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7.4.3.9 </w:t>
            </w:r>
            <w:r w:rsidRPr="00FB52A2">
              <w:rPr>
                <w:rFonts w:ascii="Arial" w:hAnsi="Arial" w:cs="Arial"/>
                <w:sz w:val="18"/>
                <w:szCs w:val="18"/>
              </w:rPr>
              <w:t>Location of buildings and access in relation to road/rail level crossings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P1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7.4.3.10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High trip generators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-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as specified in rule.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:rsidR="007C701F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C701F" w:rsidRPr="00FB52A2" w:rsidTr="0070771F">
        <w:tc>
          <w:tcPr>
            <w:tcW w:w="9628" w:type="dxa"/>
            <w:gridSpan w:val="5"/>
            <w:shd w:val="clear" w:color="auto" w:fill="E6E6E6"/>
            <w:vAlign w:val="center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Controlled activities</w:t>
            </w:r>
          </w:p>
        </w:tc>
      </w:tr>
      <w:tr w:rsidR="007C701F" w:rsidRPr="00FB52A2" w:rsidTr="0070771F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7C701F" w:rsidRPr="00FB52A2" w:rsidRDefault="007C701F" w:rsidP="0070771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  <w:p w:rsidR="007C701F" w:rsidRPr="00FB52A2" w:rsidRDefault="007C701F" w:rsidP="0070771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Any activity not complying with 7.</w:t>
            </w:r>
            <w:r>
              <w:rPr>
                <w:rFonts w:ascii="Arial" w:hAnsi="Arial" w:cs="Arial"/>
                <w:sz w:val="18"/>
                <w:szCs w:val="18"/>
              </w:rPr>
              <w:t>4.3</w:t>
            </w:r>
            <w:r w:rsidRPr="00FB52A2">
              <w:rPr>
                <w:rFonts w:ascii="Arial" w:hAnsi="Arial" w:cs="Arial"/>
                <w:sz w:val="18"/>
                <w:szCs w:val="18"/>
              </w:rPr>
              <w:t>.10 High trip generators where:</w:t>
            </w:r>
          </w:p>
          <w:p w:rsidR="007C701F" w:rsidRPr="00FB52A2" w:rsidRDefault="007C701F" w:rsidP="0070771F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The land use is otherwise permitted in the zone; and</w:t>
            </w:r>
          </w:p>
          <w:p w:rsidR="007C701F" w:rsidRPr="00FB52A2" w:rsidRDefault="007C701F" w:rsidP="0070771F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Does not exceed the thresholds in Table 7.</w:t>
            </w:r>
            <w:r>
              <w:rPr>
                <w:rFonts w:ascii="Arial" w:hAnsi="Arial" w:cs="Arial"/>
                <w:sz w:val="18"/>
                <w:szCs w:val="18"/>
              </w:rPr>
              <w:t>4.4.19.1</w:t>
            </w:r>
            <w:r w:rsidRPr="00FB52A2">
              <w:rPr>
                <w:rFonts w:ascii="Arial" w:hAnsi="Arial" w:cs="Arial"/>
                <w:sz w:val="18"/>
                <w:szCs w:val="18"/>
              </w:rPr>
              <w:t>; and</w:t>
            </w:r>
          </w:p>
          <w:p w:rsidR="007C701F" w:rsidRPr="00C263E2" w:rsidRDefault="007C701F" w:rsidP="0070771F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Access not obtained from state highway, major arterial, or crosses railway line; and</w:t>
            </w:r>
          </w:p>
        </w:tc>
        <w:tc>
          <w:tcPr>
            <w:tcW w:w="2874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70771F">
        <w:tc>
          <w:tcPr>
            <w:tcW w:w="9628" w:type="dxa"/>
            <w:gridSpan w:val="5"/>
            <w:shd w:val="clear" w:color="auto" w:fill="E6E6E6"/>
            <w:vAlign w:val="center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7.4.2.3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Restricted discretionary activities </w:t>
            </w:r>
          </w:p>
        </w:tc>
      </w:tr>
      <w:tr w:rsidR="007C701F" w:rsidRPr="00FB52A2" w:rsidTr="0070771F">
        <w:tc>
          <w:tcPr>
            <w:tcW w:w="531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7C701F" w:rsidRPr="00FB52A2" w:rsidRDefault="007C701F" w:rsidP="0070771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 xml:space="preserve">RD1  </w:t>
            </w:r>
          </w:p>
          <w:p w:rsidR="007C701F" w:rsidRPr="00FB52A2" w:rsidRDefault="007C701F" w:rsidP="0070771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Any activity that doesn't compl</w:t>
            </w:r>
            <w:r>
              <w:rPr>
                <w:rFonts w:ascii="Arial" w:hAnsi="Arial" w:cs="Arial"/>
                <w:sz w:val="18"/>
                <w:szCs w:val="18"/>
              </w:rPr>
              <w:t xml:space="preserve">y with standards in rule 7.4.3 or requires consent under 7.4.3.10 </w:t>
            </w:r>
            <w:r w:rsidRPr="00FB52A2">
              <w:rPr>
                <w:rFonts w:ascii="Arial" w:hAnsi="Arial" w:cs="Arial"/>
                <w:sz w:val="18"/>
                <w:szCs w:val="18"/>
              </w:rPr>
              <w:t>except where provided for as a controlled activity</w:t>
            </w:r>
          </w:p>
        </w:tc>
        <w:tc>
          <w:tcPr>
            <w:tcW w:w="2874" w:type="dxa"/>
            <w:shd w:val="clear" w:color="auto" w:fill="auto"/>
          </w:tcPr>
          <w:p w:rsidR="007C701F" w:rsidRPr="00FB52A2" w:rsidRDefault="007C701F" w:rsidP="0070771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C701F" w:rsidRPr="00FB52A2" w:rsidRDefault="007C701F" w:rsidP="007077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01F" w:rsidRPr="00FB52A2" w:rsidTr="0070771F">
        <w:tc>
          <w:tcPr>
            <w:tcW w:w="9628" w:type="dxa"/>
            <w:gridSpan w:val="5"/>
            <w:shd w:val="clear" w:color="auto" w:fill="E6E6E6"/>
            <w:vAlign w:val="center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7.4.2.5 Non complying activities</w:t>
            </w:r>
          </w:p>
        </w:tc>
      </w:tr>
      <w:tr w:rsidR="007C701F" w:rsidRPr="00FB52A2" w:rsidTr="0070771F">
        <w:tc>
          <w:tcPr>
            <w:tcW w:w="531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7C701F" w:rsidRDefault="007C701F" w:rsidP="0070771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NC2</w:t>
            </w:r>
          </w:p>
          <w:p w:rsidR="007C701F" w:rsidRDefault="007C701F" w:rsidP="0070771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building/structure that exceeds 2.5m in height within</w:t>
            </w:r>
          </w:p>
          <w:p w:rsidR="007C701F" w:rsidRDefault="007C701F" w:rsidP="0070771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 12m of centre line of 110kV or 220kV National Grid transmission line</w:t>
            </w:r>
          </w:p>
          <w:p w:rsidR="007C701F" w:rsidRPr="003F01A5" w:rsidRDefault="007C701F" w:rsidP="0070771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ii.  10m of centre line of 66kV National Grid transmission line </w:t>
            </w:r>
          </w:p>
        </w:tc>
        <w:tc>
          <w:tcPr>
            <w:tcW w:w="2874" w:type="dxa"/>
            <w:shd w:val="clear" w:color="auto" w:fill="auto"/>
          </w:tcPr>
          <w:p w:rsidR="007C701F" w:rsidRPr="00FB52A2" w:rsidRDefault="007C701F" w:rsidP="0070771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16EA7" w:rsidRDefault="00916EA7" w:rsidP="00833566">
      <w:pPr>
        <w:pStyle w:val="Title"/>
        <w:jc w:val="lef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8"/>
        <w:gridCol w:w="508"/>
        <w:gridCol w:w="17"/>
        <w:gridCol w:w="586"/>
        <w:gridCol w:w="5021"/>
        <w:gridCol w:w="19"/>
        <w:gridCol w:w="2831"/>
      </w:tblGrid>
      <w:tr w:rsidR="007C701F" w:rsidRPr="00E84A21" w:rsidTr="0070771F">
        <w:trPr>
          <w:cantSplit/>
          <w:trHeight w:val="291"/>
          <w:tblHeader/>
        </w:trPr>
        <w:tc>
          <w:tcPr>
            <w:tcW w:w="9628" w:type="dxa"/>
            <w:gridSpan w:val="8"/>
            <w:shd w:val="clear" w:color="auto" w:fill="5C3D1E"/>
          </w:tcPr>
          <w:p w:rsidR="007C701F" w:rsidRPr="00E84A21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GENERAL R</w:t>
            </w: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ULES</w:t>
            </w:r>
          </w:p>
        </w:tc>
      </w:tr>
      <w:tr w:rsidR="007C701F" w:rsidRPr="00FB52A2" w:rsidTr="0070771F">
        <w:trPr>
          <w:cantSplit/>
          <w:trHeight w:val="265"/>
          <w:tblHeader/>
        </w:trPr>
        <w:tc>
          <w:tcPr>
            <w:tcW w:w="1646" w:type="dxa"/>
            <w:gridSpan w:val="5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116" w:type="dxa"/>
            <w:gridSpan w:val="2"/>
            <w:vMerge w:val="restart"/>
            <w:shd w:val="clear" w:color="auto" w:fill="auto"/>
            <w:vAlign w:val="center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66" w:type="dxa"/>
            <w:vMerge w:val="restart"/>
            <w:shd w:val="clear" w:color="auto" w:fill="auto"/>
            <w:vAlign w:val="center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7C701F" w:rsidRPr="00FB52A2" w:rsidTr="0070771F">
        <w:trPr>
          <w:cantSplit/>
          <w:trHeight w:val="336"/>
          <w:tblHeader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16" w:type="dxa"/>
            <w:gridSpan w:val="2"/>
            <w:vMerge/>
            <w:shd w:val="clear" w:color="auto" w:fill="auto"/>
            <w:vAlign w:val="center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vMerge/>
            <w:shd w:val="clear" w:color="auto" w:fill="auto"/>
            <w:vAlign w:val="center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01F" w:rsidRPr="00916EA7" w:rsidTr="0070771F">
        <w:tc>
          <w:tcPr>
            <w:tcW w:w="9628" w:type="dxa"/>
            <w:gridSpan w:val="8"/>
            <w:shd w:val="clear" w:color="auto" w:fill="E6E6E6"/>
            <w:vAlign w:val="center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t>Natural hazard rules</w:t>
            </w:r>
            <w:r>
              <w:rPr>
                <w:rFonts w:ascii="Arial" w:hAnsi="Arial" w:cs="Arial"/>
                <w:sz w:val="18"/>
                <w:szCs w:val="18"/>
              </w:rPr>
              <w:t xml:space="preserve"> - Chapter 5 DP</w:t>
            </w:r>
          </w:p>
        </w:tc>
      </w:tr>
      <w:tr w:rsidR="007C701F" w:rsidRPr="00916EA7" w:rsidTr="0070771F">
        <w:tc>
          <w:tcPr>
            <w:tcW w:w="525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Flood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hazard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5.4</w:t>
            </w:r>
          </w:p>
        </w:tc>
        <w:tc>
          <w:tcPr>
            <w:tcW w:w="286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:rsidTr="0070771F">
        <w:tc>
          <w:tcPr>
            <w:tcW w:w="525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Liquefaction management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5.5</w:t>
            </w:r>
          </w:p>
        </w:tc>
        <w:tc>
          <w:tcPr>
            <w:tcW w:w="286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70771F">
        <w:tc>
          <w:tcPr>
            <w:tcW w:w="525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Slope Instability rules – Chapter 5.6</w:t>
            </w:r>
          </w:p>
        </w:tc>
        <w:tc>
          <w:tcPr>
            <w:tcW w:w="2866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:rsidTr="0070771F">
        <w:tc>
          <w:tcPr>
            <w:tcW w:w="9628" w:type="dxa"/>
            <w:gridSpan w:val="8"/>
            <w:shd w:val="clear" w:color="auto" w:fill="E6E6E6"/>
            <w:vAlign w:val="center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t>Other provisions</w:t>
            </w:r>
          </w:p>
        </w:tc>
      </w:tr>
      <w:tr w:rsidR="007C701F" w:rsidRPr="00916EA7" w:rsidTr="0070771F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Hazardous substances – Chapter 4</w:t>
            </w:r>
          </w:p>
        </w:tc>
        <w:tc>
          <w:tcPr>
            <w:tcW w:w="286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:rsidTr="0070771F">
        <w:trPr>
          <w:trHeight w:val="298"/>
        </w:trPr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Noise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– Chapter 6.1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C701F" w:rsidRPr="00916EA7" w:rsidTr="0070771F">
        <w:trPr>
          <w:trHeight w:val="298"/>
        </w:trPr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Outdoor lighting – Chapter 6.3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:rsidTr="0070771F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Aircraft Protection – Chapter 6.7</w:t>
            </w:r>
          </w:p>
        </w:tc>
        <w:tc>
          <w:tcPr>
            <w:tcW w:w="286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:rsidTr="0070771F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Water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Body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setbacks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Chapter 6.6</w:t>
            </w:r>
          </w:p>
        </w:tc>
        <w:tc>
          <w:tcPr>
            <w:tcW w:w="286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C701F" w:rsidRPr="00916EA7" w:rsidTr="0070771F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Sign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6.8</w:t>
            </w:r>
          </w:p>
        </w:tc>
        <w:tc>
          <w:tcPr>
            <w:tcW w:w="286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:rsidTr="0070771F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Licensed premises/sale of alcohol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- Chapter 6.9</w:t>
            </w:r>
          </w:p>
        </w:tc>
        <w:tc>
          <w:tcPr>
            <w:tcW w:w="286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:rsidTr="0070771F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Earthworks – Chapter 8.9</w:t>
            </w:r>
          </w:p>
        </w:tc>
        <w:tc>
          <w:tcPr>
            <w:tcW w:w="286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:rsidTr="0070771F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7C701F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Indigenous biodiversity – Chapter 9.1</w:t>
            </w:r>
          </w:p>
        </w:tc>
        <w:tc>
          <w:tcPr>
            <w:tcW w:w="286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:rsidTr="0070771F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7C701F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286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Tr="0070771F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7C701F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Historic Heritage – Chapter 9.3</w:t>
            </w:r>
          </w:p>
        </w:tc>
        <w:tc>
          <w:tcPr>
            <w:tcW w:w="2866" w:type="dxa"/>
            <w:shd w:val="clear" w:color="auto" w:fill="auto"/>
          </w:tcPr>
          <w:p w:rsidR="007C701F" w:rsidRDefault="007C701F" w:rsidP="0070771F"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C701F" w:rsidTr="0070771F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7C701F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Trees – Chapter 9.4</w:t>
            </w:r>
          </w:p>
        </w:tc>
        <w:tc>
          <w:tcPr>
            <w:tcW w:w="2866" w:type="dxa"/>
            <w:shd w:val="clear" w:color="auto" w:fill="auto"/>
          </w:tcPr>
          <w:p w:rsidR="007C701F" w:rsidRDefault="007C701F" w:rsidP="0070771F"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C701F" w:rsidRPr="00BD42CB" w:rsidTr="0070771F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7C701F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Ngai Tahu values – Chapter 9.5</w:t>
            </w:r>
          </w:p>
        </w:tc>
        <w:tc>
          <w:tcPr>
            <w:tcW w:w="2866" w:type="dxa"/>
            <w:shd w:val="clear" w:color="auto" w:fill="auto"/>
          </w:tcPr>
          <w:p w:rsidR="007C701F" w:rsidRPr="00BD42CB" w:rsidRDefault="007C701F" w:rsidP="007077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C701F" w:rsidRPr="00BD42CB" w:rsidTr="0070771F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7C701F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Coastal environment – Chapter 9.6</w:t>
            </w:r>
          </w:p>
        </w:tc>
        <w:tc>
          <w:tcPr>
            <w:tcW w:w="2866" w:type="dxa"/>
            <w:shd w:val="clear" w:color="auto" w:fill="auto"/>
          </w:tcPr>
          <w:p w:rsidR="007C701F" w:rsidRDefault="007C701F" w:rsidP="007077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7C701F" w:rsidRPr="00BD42CB" w:rsidRDefault="007C701F" w:rsidP="007077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701F" w:rsidRPr="00FB52A2" w:rsidTr="0070771F">
        <w:tc>
          <w:tcPr>
            <w:tcW w:w="9628" w:type="dxa"/>
            <w:gridSpan w:val="8"/>
            <w:shd w:val="clear" w:color="auto" w:fill="E6E6E6"/>
            <w:vAlign w:val="center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NES – Managing Contaminants in Soil to Protect Human Health</w:t>
            </w:r>
          </w:p>
        </w:tc>
      </w:tr>
      <w:tr w:rsidR="007C701F" w:rsidRPr="00FB52A2" w:rsidTr="0070771F">
        <w:tc>
          <w:tcPr>
            <w:tcW w:w="533" w:type="dxa"/>
            <w:gridSpan w:val="2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4BD">
              <w:rPr>
                <w:rFonts w:ascii="Arial" w:hAnsi="Arial" w:cs="Arial"/>
                <w:sz w:val="18"/>
                <w:szCs w:val="18"/>
              </w:rPr>
            </w:r>
            <w:r w:rsidR="00ED34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2866" w:type="dxa"/>
            <w:shd w:val="clear" w:color="auto" w:fill="auto"/>
          </w:tcPr>
          <w:p w:rsidR="007C701F" w:rsidRPr="00FB52A2" w:rsidRDefault="007C701F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C13A67" w:rsidRDefault="00C13A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58"/>
        <w:gridCol w:w="564"/>
        <w:gridCol w:w="5020"/>
        <w:gridCol w:w="2831"/>
        <w:gridCol w:w="17"/>
      </w:tblGrid>
      <w:tr w:rsidR="00AA1CEE" w:rsidRPr="00A30DB0" w:rsidTr="00561830">
        <w:trPr>
          <w:cantSplit/>
          <w:trHeight w:val="291"/>
        </w:trPr>
        <w:tc>
          <w:tcPr>
            <w:tcW w:w="9520" w:type="dxa"/>
            <w:gridSpan w:val="6"/>
            <w:shd w:val="clear" w:color="auto" w:fill="7030A0"/>
          </w:tcPr>
          <w:p w:rsidR="00AA1CEE" w:rsidRPr="00A30DB0" w:rsidRDefault="00AA1CEE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A30DB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RMA ACTIVITY &amp; APPLICATION TYPE ASSESSMENT:</w:t>
            </w:r>
          </w:p>
        </w:tc>
      </w:tr>
      <w:tr w:rsidR="00AA1CEE" w:rsidRPr="00FB52A2" w:rsidTr="00561830">
        <w:trPr>
          <w:gridAfter w:val="1"/>
          <w:wAfter w:w="17" w:type="dxa"/>
          <w:cantSplit/>
          <w:trHeight w:val="336"/>
          <w:tblHeader/>
        </w:trPr>
        <w:tc>
          <w:tcPr>
            <w:tcW w:w="530" w:type="dxa"/>
            <w:shd w:val="clear" w:color="auto" w:fill="auto"/>
            <w:vAlign w:val="center"/>
          </w:tcPr>
          <w:p w:rsidR="00AA1CEE" w:rsidRPr="00FB52A2" w:rsidRDefault="00AA1CEE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AA1CEE" w:rsidRPr="00FB52A2" w:rsidRDefault="00AA1CEE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A1CEE" w:rsidRPr="00FB52A2" w:rsidRDefault="00AA1CEE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AA1CEE" w:rsidRPr="00FB52A2" w:rsidRDefault="00AA1CEE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RMA provision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AA1CEE" w:rsidRPr="00FB52A2" w:rsidRDefault="00AA1CEE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AA1CEE" w:rsidRPr="00FB52A2" w:rsidTr="00561830">
        <w:trPr>
          <w:gridAfter w:val="1"/>
          <w:wAfter w:w="17" w:type="dxa"/>
        </w:trPr>
        <w:tc>
          <w:tcPr>
            <w:tcW w:w="530" w:type="dxa"/>
            <w:shd w:val="clear" w:color="auto" w:fill="auto"/>
          </w:tcPr>
          <w:p w:rsidR="00AA1CEE" w:rsidRPr="00FB52A2" w:rsidRDefault="00AA1CEE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shd w:val="clear" w:color="auto" w:fill="auto"/>
          </w:tcPr>
          <w:p w:rsidR="00AA1CEE" w:rsidRPr="00FB52A2" w:rsidRDefault="00AA1CEE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shd w:val="clear" w:color="auto" w:fill="auto"/>
          </w:tcPr>
          <w:p w:rsidR="00AA1CEE" w:rsidRPr="00FB52A2" w:rsidRDefault="00AA1CEE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0" w:type="dxa"/>
            <w:shd w:val="clear" w:color="auto" w:fill="auto"/>
          </w:tcPr>
          <w:p w:rsidR="00AA1CEE" w:rsidRDefault="00AA1CEE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this a ‘boundary activity’, as defined in </w:t>
            </w:r>
            <w:hyperlink r:id="rId8" w:history="1">
              <w:r w:rsidRPr="00E674F9">
                <w:rPr>
                  <w:rStyle w:val="Hyperlink"/>
                  <w:rFonts w:ascii="Arial" w:hAnsi="Arial" w:cs="Arial"/>
                  <w:sz w:val="18"/>
                  <w:szCs w:val="18"/>
                </w:rPr>
                <w:t>s87AAB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AA1CEE" w:rsidRPr="00E674F9" w:rsidRDefault="00AA1CEE" w:rsidP="00AA1CEE">
            <w:pPr>
              <w:pStyle w:val="Title"/>
              <w:numPr>
                <w:ilvl w:val="0"/>
                <w:numId w:val="16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only DP rules infringed are</w:t>
            </w: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 xml:space="preserve"> ‘boundary rules’</w:t>
            </w:r>
          </w:p>
          <w:p w:rsidR="00AA1CEE" w:rsidRDefault="00AA1CEE" w:rsidP="00AA1CEE">
            <w:pPr>
              <w:pStyle w:val="Title"/>
              <w:numPr>
                <w:ilvl w:val="0"/>
                <w:numId w:val="16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>The infringed boundary is not a public boundary</w:t>
            </w:r>
          </w:p>
          <w:p w:rsidR="00AA1CEE" w:rsidRPr="00E674F9" w:rsidRDefault="00AA1CEE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AA1CEE" w:rsidRPr="00FB52A2" w:rsidRDefault="00AA1CEE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Note:</w:t>
            </w: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A boundary activity will only be </w:t>
            </w: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>permitted if all information required by s87BA is provided, including written approval from owners of adjoining allotments.</w:t>
            </w:r>
          </w:p>
        </w:tc>
        <w:tc>
          <w:tcPr>
            <w:tcW w:w="2831" w:type="dxa"/>
            <w:shd w:val="clear" w:color="auto" w:fill="auto"/>
          </w:tcPr>
          <w:p w:rsidR="00AA1CEE" w:rsidRPr="00FB52A2" w:rsidRDefault="00AA1CEE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CEE" w:rsidRPr="00FB52A2" w:rsidTr="00561830">
        <w:trPr>
          <w:gridAfter w:val="1"/>
          <w:wAfter w:w="17" w:type="dxa"/>
        </w:trPr>
        <w:tc>
          <w:tcPr>
            <w:tcW w:w="530" w:type="dxa"/>
            <w:shd w:val="clear" w:color="auto" w:fill="auto"/>
          </w:tcPr>
          <w:p w:rsidR="00AA1CEE" w:rsidRPr="00FB52A2" w:rsidRDefault="00AA1CEE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shd w:val="clear" w:color="auto" w:fill="auto"/>
          </w:tcPr>
          <w:p w:rsidR="00AA1CEE" w:rsidRPr="00FB52A2" w:rsidRDefault="00AA1CEE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shd w:val="clear" w:color="auto" w:fill="auto"/>
          </w:tcPr>
          <w:p w:rsidR="00AA1CEE" w:rsidRPr="00FB52A2" w:rsidRDefault="00AA1CEE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0" w:type="dxa"/>
            <w:shd w:val="clear" w:color="auto" w:fill="auto"/>
          </w:tcPr>
          <w:p w:rsidR="00AA1CEE" w:rsidRDefault="00AA1CEE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this a Fast track application as defined in </w:t>
            </w:r>
            <w:hyperlink r:id="rId9" w:history="1">
              <w:r w:rsidRPr="00E674F9">
                <w:rPr>
                  <w:rStyle w:val="Hyperlink"/>
                  <w:rFonts w:ascii="Arial" w:hAnsi="Arial" w:cs="Arial"/>
                  <w:sz w:val="18"/>
                  <w:szCs w:val="18"/>
                </w:rPr>
                <w:t>s87AAC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AA1CEE" w:rsidRDefault="00AA1CEE" w:rsidP="00AA1CEE">
            <w:pPr>
              <w:pStyle w:val="Title"/>
              <w:numPr>
                <w:ilvl w:val="0"/>
                <w:numId w:val="17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 controlled activity (but no other activities) under the Plan. Does not include subdivision.</w:t>
            </w:r>
          </w:p>
          <w:p w:rsidR="00AA1CEE" w:rsidRDefault="00AA1CEE" w:rsidP="00AA1CEE">
            <w:pPr>
              <w:pStyle w:val="Title"/>
              <w:numPr>
                <w:ilvl w:val="0"/>
                <w:numId w:val="17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Electronic address for service provided</w:t>
            </w:r>
          </w:p>
          <w:p w:rsidR="00AA1CEE" w:rsidRPr="00A30DB0" w:rsidRDefault="00AA1CEE" w:rsidP="00AA1CEE">
            <w:pPr>
              <w:pStyle w:val="Title"/>
              <w:numPr>
                <w:ilvl w:val="0"/>
                <w:numId w:val="17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A30DB0">
              <w:rPr>
                <w:rFonts w:ascii="Arial" w:hAnsi="Arial" w:cs="Arial"/>
                <w:b w:val="0"/>
                <w:sz w:val="18"/>
                <w:szCs w:val="18"/>
              </w:rPr>
              <w:t>Must be non-notified and no s104 hearing</w:t>
            </w:r>
          </w:p>
        </w:tc>
        <w:tc>
          <w:tcPr>
            <w:tcW w:w="2831" w:type="dxa"/>
            <w:shd w:val="clear" w:color="auto" w:fill="auto"/>
          </w:tcPr>
          <w:p w:rsidR="00AA1CEE" w:rsidRPr="00A30DB0" w:rsidRDefault="00AA1CEE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30DB0">
              <w:rPr>
                <w:rFonts w:ascii="Arial" w:hAnsi="Arial" w:cs="Arial"/>
                <w:b w:val="0"/>
                <w:i/>
                <w:sz w:val="18"/>
                <w:szCs w:val="18"/>
              </w:rPr>
              <w:t>Not applicable to PIMs</w:t>
            </w:r>
          </w:p>
          <w:p w:rsidR="00AA1CEE" w:rsidRPr="00FB52A2" w:rsidRDefault="00AA1CEE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CEE" w:rsidRPr="00FB52A2" w:rsidTr="00561830">
        <w:trPr>
          <w:gridAfter w:val="1"/>
          <w:wAfter w:w="17" w:type="dxa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:rsidR="00AA1CEE" w:rsidRPr="00FB52A2" w:rsidRDefault="00AA1CEE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AA1CEE" w:rsidRPr="00FB52A2" w:rsidRDefault="00AA1CEE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AA1CEE" w:rsidRPr="00FB52A2" w:rsidRDefault="00AA1CEE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0" w:type="dxa"/>
            <w:shd w:val="clear" w:color="auto" w:fill="auto"/>
          </w:tcPr>
          <w:p w:rsidR="00AA1CEE" w:rsidRDefault="00AA1CEE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application for a ‘residential activity’ for the purpose of the notification decision, as defined in s95A?</w:t>
            </w:r>
          </w:p>
          <w:p w:rsidR="00AA1CEE" w:rsidRPr="004A5393" w:rsidRDefault="00AA1CEE" w:rsidP="00AA1CEE">
            <w:pPr>
              <w:pStyle w:val="Title"/>
              <w:numPr>
                <w:ilvl w:val="0"/>
                <w:numId w:val="18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Style w:val="HTMLDefinition"/>
                <w:rFonts w:ascii="Arial" w:hAnsi="Arial" w:cs="Arial"/>
                <w:b w:val="0"/>
                <w:bCs/>
                <w:i w:val="0"/>
                <w:iCs w:val="0"/>
                <w:sz w:val="18"/>
                <w:szCs w:val="18"/>
              </w:rPr>
              <w:t>A</w:t>
            </w:r>
            <w:r w:rsidRPr="004A5393">
              <w:rPr>
                <w:rFonts w:ascii="Arial" w:hAnsi="Arial" w:cs="Arial"/>
                <w:b w:val="0"/>
                <w:sz w:val="18"/>
                <w:szCs w:val="18"/>
              </w:rPr>
              <w:t>n activity that requires resource consent under a regional or district plan and that is</w:t>
            </w:r>
          </w:p>
          <w:p w:rsidR="00AA1CEE" w:rsidRPr="004A5393" w:rsidRDefault="00AA1CEE" w:rsidP="00AA1CEE">
            <w:pPr>
              <w:pStyle w:val="Title"/>
              <w:numPr>
                <w:ilvl w:val="0"/>
                <w:numId w:val="18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Fonts w:ascii="Arial" w:hAnsi="Arial" w:cs="Arial"/>
                <w:b w:val="0"/>
                <w:sz w:val="18"/>
                <w:szCs w:val="18"/>
              </w:rPr>
              <w:t>associated with the construction, alteration, or use of 1 or more dwellinghouses and is</w:t>
            </w:r>
          </w:p>
          <w:p w:rsidR="00AA1CEE" w:rsidRPr="004A5393" w:rsidRDefault="00AA1CEE" w:rsidP="00AA1CEE">
            <w:pPr>
              <w:pStyle w:val="Title"/>
              <w:numPr>
                <w:ilvl w:val="0"/>
                <w:numId w:val="18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Fonts w:ascii="Arial" w:hAnsi="Arial" w:cs="Arial"/>
                <w:b w:val="0"/>
                <w:sz w:val="18"/>
                <w:szCs w:val="18"/>
              </w:rPr>
              <w:t>on land that, under a district plan, is intended to be used solely or principally for residential purposes (i.e. Residential and Papakainga zones)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</w:tcPr>
          <w:p w:rsidR="00AA1CEE" w:rsidRPr="00A30DB0" w:rsidRDefault="00AA1CEE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30DB0">
              <w:rPr>
                <w:rFonts w:ascii="Arial" w:hAnsi="Arial" w:cs="Arial"/>
                <w:b w:val="0"/>
                <w:i/>
                <w:sz w:val="18"/>
                <w:szCs w:val="18"/>
              </w:rPr>
              <w:t>Not applicable to PIMs</w:t>
            </w:r>
          </w:p>
          <w:p w:rsidR="00AA1CEE" w:rsidRPr="00FB52A2" w:rsidRDefault="00AA1CEE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AA1CEE" w:rsidRDefault="00AA1CEE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0"/>
        <w:gridCol w:w="3141"/>
      </w:tblGrid>
      <w:tr w:rsidR="007173AB" w:rsidRPr="00E84A21" w:rsidTr="00AA1CEE">
        <w:trPr>
          <w:cantSplit/>
          <w:trHeight w:val="291"/>
        </w:trPr>
        <w:tc>
          <w:tcPr>
            <w:tcW w:w="6350" w:type="dxa"/>
            <w:shd w:val="clear" w:color="auto" w:fill="000000"/>
          </w:tcPr>
          <w:p w:rsidR="007173AB" w:rsidRPr="00E84A21" w:rsidRDefault="00A27E8D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4A21">
              <w:rPr>
                <w:rFonts w:ascii="Arial" w:hAnsi="Arial" w:cs="Arial"/>
                <w:sz w:val="22"/>
                <w:szCs w:val="22"/>
              </w:rPr>
              <w:t>GENERAL COMMENTS</w:t>
            </w:r>
            <w:r w:rsidR="007173AB" w:rsidRPr="00E84A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41" w:type="dxa"/>
            <w:shd w:val="clear" w:color="auto" w:fill="000000"/>
            <w:vAlign w:val="center"/>
          </w:tcPr>
          <w:p w:rsidR="007173AB" w:rsidRPr="00E84A21" w:rsidRDefault="007173AB" w:rsidP="00E84A21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3AB" w:rsidRPr="00E84A21" w:rsidTr="00AA1CEE">
        <w:tc>
          <w:tcPr>
            <w:tcW w:w="9491" w:type="dxa"/>
            <w:gridSpan w:val="2"/>
            <w:shd w:val="clear" w:color="auto" w:fill="auto"/>
          </w:tcPr>
          <w:p w:rsidR="007173AB" w:rsidRPr="00E84A21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0"/>
                <w:szCs w:val="10"/>
              </w:rPr>
            </w:pPr>
          </w:p>
          <w:p w:rsidR="007173AB" w:rsidRPr="00FB52A2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:rsidR="007173AB" w:rsidRPr="00E84A21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</w:p>
        </w:tc>
      </w:tr>
    </w:tbl>
    <w:p w:rsidR="00FB2163" w:rsidRDefault="00FB2163">
      <w:pPr>
        <w:rPr>
          <w:rFonts w:ascii="Arial" w:hAnsi="Arial" w:cs="Arial"/>
          <w:sz w:val="24"/>
        </w:rPr>
        <w:sectPr w:rsidR="00FB2163" w:rsidSect="004D33D5">
          <w:headerReference w:type="default" r:id="rId10"/>
          <w:footerReference w:type="even" r:id="rId11"/>
          <w:footerReference w:type="default" r:id="rId12"/>
          <w:type w:val="continuous"/>
          <w:pgSz w:w="11906" w:h="16838" w:code="9"/>
          <w:pgMar w:top="1843" w:right="1134" w:bottom="1134" w:left="1134" w:header="720" w:footer="595" w:gutter="0"/>
          <w:cols w:space="720"/>
        </w:sectPr>
      </w:pPr>
    </w:p>
    <w:p w:rsidR="00FB2163" w:rsidRDefault="00FB2163" w:rsidP="00C13A67"/>
    <w:p w:rsidR="00262E2C" w:rsidRPr="00CE5298" w:rsidRDefault="00262E2C" w:rsidP="00C13A67"/>
    <w:sectPr w:rsidR="00262E2C" w:rsidRPr="00CE5298" w:rsidSect="00FB2163">
      <w:type w:val="continuous"/>
      <w:pgSz w:w="11906" w:h="16838" w:code="9"/>
      <w:pgMar w:top="1843" w:right="1134" w:bottom="1134" w:left="1134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4BD" w:rsidRDefault="00ED34BD">
      <w:r>
        <w:separator/>
      </w:r>
    </w:p>
  </w:endnote>
  <w:endnote w:type="continuationSeparator" w:id="0">
    <w:p w:rsidR="00ED34BD" w:rsidRDefault="00ED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C67" w:rsidRDefault="00FB2C67" w:rsidP="00AC60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FB2C67" w:rsidRDefault="00FB2C67" w:rsidP="00CE52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C67" w:rsidRPr="00CE5298" w:rsidRDefault="00FB2C67" w:rsidP="00EB4502">
    <w:pPr>
      <w:pStyle w:val="Footer"/>
      <w:framePr w:w="511" w:wrap="around" w:vAnchor="text" w:hAnchor="page" w:x="5657" w:y="144"/>
      <w:jc w:val="center"/>
      <w:rPr>
        <w:rStyle w:val="PageNumber"/>
        <w:rFonts w:ascii="Arial" w:hAnsi="Arial" w:cs="Arial"/>
        <w:sz w:val="16"/>
        <w:szCs w:val="16"/>
      </w:rPr>
    </w:pP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AA1CEE">
      <w:rPr>
        <w:rStyle w:val="PageNumber"/>
        <w:rFonts w:ascii="Arial" w:hAnsi="Arial" w:cs="Arial"/>
        <w:noProof/>
        <w:sz w:val="16"/>
        <w:szCs w:val="16"/>
      </w:rPr>
      <w:t>1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  <w:r w:rsidRPr="00CE5298">
      <w:rPr>
        <w:rStyle w:val="PageNumber"/>
        <w:rFonts w:ascii="Arial" w:hAnsi="Arial" w:cs="Arial"/>
        <w:sz w:val="16"/>
        <w:szCs w:val="16"/>
      </w:rPr>
      <w:t xml:space="preserve"> of </w:t>
    </w: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AA1CEE">
      <w:rPr>
        <w:rStyle w:val="PageNumber"/>
        <w:rFonts w:ascii="Arial" w:hAnsi="Arial" w:cs="Arial"/>
        <w:noProof/>
        <w:sz w:val="16"/>
        <w:szCs w:val="16"/>
      </w:rPr>
      <w:t>6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</w:p>
  <w:tbl>
    <w:tblPr>
      <w:tblStyle w:val="TableGrid"/>
      <w:tblW w:w="0" w:type="auto"/>
      <w:tblInd w:w="-142" w:type="dxa"/>
      <w:tblLook w:val="04A0" w:firstRow="1" w:lastRow="0" w:firstColumn="1" w:lastColumn="0" w:noHBand="0" w:noVBand="1"/>
    </w:tblPr>
    <w:tblGrid>
      <w:gridCol w:w="4814"/>
      <w:gridCol w:w="4814"/>
    </w:tblGrid>
    <w:tr w:rsidR="00FB2C67" w:rsidTr="00A5544B"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:rsidR="00FB2C67" w:rsidRDefault="00AA1CEE" w:rsidP="00A5544B">
          <w:pPr>
            <w:pStyle w:val="Footer"/>
            <w:spacing w:before="120"/>
            <w:ind w:right="-142"/>
            <w:jc w:val="both"/>
            <w:rPr>
              <w:rFonts w:ascii="Arial" w:hAnsi="Arial" w:cs="Arial"/>
              <w:sz w:val="16"/>
              <w:szCs w:val="16"/>
              <w:lang w:val="en-NZ"/>
            </w:rPr>
          </w:pPr>
          <w:r>
            <w:rPr>
              <w:rFonts w:ascii="Arial" w:hAnsi="Arial" w:cs="Arial"/>
              <w:sz w:val="16"/>
              <w:szCs w:val="16"/>
              <w:lang w:val="en-NZ"/>
            </w:rPr>
            <w:t>Updated: 7.12</w:t>
          </w:r>
          <w:r w:rsidR="007C701F">
            <w:rPr>
              <w:rFonts w:ascii="Arial" w:hAnsi="Arial" w:cs="Arial"/>
              <w:sz w:val="16"/>
              <w:szCs w:val="16"/>
              <w:lang w:val="en-NZ"/>
            </w:rPr>
            <w:t>.2017</w:t>
          </w:r>
        </w:p>
        <w:p w:rsidR="00FB2C67" w:rsidRPr="00A5544B" w:rsidRDefault="00FB2C67" w:rsidP="00A5544B">
          <w:pPr>
            <w:pStyle w:val="Footer"/>
            <w:spacing w:before="120"/>
            <w:ind w:right="-142"/>
            <w:jc w:val="both"/>
            <w:rPr>
              <w:rFonts w:ascii="Arial" w:hAnsi="Arial" w:cs="Arial"/>
              <w:b/>
              <w:sz w:val="16"/>
              <w:szCs w:val="16"/>
              <w:lang w:val="en-NZ"/>
            </w:rPr>
          </w:pPr>
          <w:r>
            <w:rPr>
              <w:rFonts w:ascii="Arial" w:hAnsi="Arial" w:cs="Arial"/>
              <w:b/>
              <w:sz w:val="16"/>
              <w:szCs w:val="16"/>
              <w:lang w:val="en-NZ"/>
            </w:rPr>
            <w:t>P-129</w:t>
          </w: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:rsidR="00FB2C67" w:rsidRDefault="00FB2C67" w:rsidP="00A5544B">
          <w:pPr>
            <w:pStyle w:val="Footer"/>
            <w:spacing w:before="120"/>
            <w:ind w:right="-142"/>
            <w:jc w:val="right"/>
            <w:rPr>
              <w:rFonts w:ascii="Arial" w:hAnsi="Arial" w:cs="Arial"/>
              <w:sz w:val="16"/>
              <w:szCs w:val="16"/>
              <w:lang w:val="en-NZ"/>
            </w:rPr>
          </w:pPr>
        </w:p>
      </w:tc>
    </w:tr>
  </w:tbl>
  <w:p w:rsidR="00FB2C67" w:rsidRPr="00CE5298" w:rsidRDefault="00FB2C67" w:rsidP="00A5544B">
    <w:pPr>
      <w:pStyle w:val="Footer"/>
      <w:spacing w:before="120"/>
      <w:ind w:left="-142" w:right="-142"/>
      <w:jc w:val="both"/>
      <w:rPr>
        <w:rFonts w:ascii="Arial" w:hAnsi="Arial" w:cs="Arial"/>
        <w:sz w:val="16"/>
        <w:szCs w:val="16"/>
        <w:lang w:val="en-N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4BD" w:rsidRDefault="00ED34BD">
      <w:r>
        <w:separator/>
      </w:r>
    </w:p>
  </w:footnote>
  <w:footnote w:type="continuationSeparator" w:id="0">
    <w:p w:rsidR="00ED34BD" w:rsidRDefault="00ED3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C67" w:rsidRPr="00FB52A2" w:rsidRDefault="00FB2C67" w:rsidP="006C0051">
    <w:pPr>
      <w:pStyle w:val="Title"/>
      <w:jc w:val="left"/>
      <w:rPr>
        <w:rFonts w:ascii="Arial" w:hAnsi="Arial" w:cs="Arial"/>
        <w:b w:val="0"/>
        <w:color w:val="FF0000"/>
        <w:sz w:val="24"/>
        <w:szCs w:val="24"/>
      </w:rPr>
    </w:pPr>
    <w:r w:rsidRPr="00FB52A2">
      <w:rPr>
        <w:rFonts w:ascii="Arial" w:hAnsi="Arial" w:cs="Arial"/>
        <w:b w:val="0"/>
        <w:color w:val="FF0000"/>
        <w:sz w:val="24"/>
        <w:szCs w:val="24"/>
      </w:rPr>
      <w:t>REPLACEMENT DISTRICT PLAN CHECKSHEET</w:t>
    </w:r>
  </w:p>
  <w:p w:rsidR="00FB2C67" w:rsidRPr="00FB52A2" w:rsidRDefault="00FB2C67" w:rsidP="0005230F">
    <w:pPr>
      <w:pStyle w:val="Title"/>
      <w:tabs>
        <w:tab w:val="left" w:pos="5823"/>
      </w:tabs>
      <w:jc w:val="left"/>
      <w:rPr>
        <w:rFonts w:ascii="Arial" w:hAnsi="Arial" w:cs="Arial"/>
        <w:b w:val="0"/>
        <w:color w:val="FF0000"/>
        <w:sz w:val="24"/>
        <w:szCs w:val="24"/>
      </w:rPr>
    </w:pPr>
    <w:r w:rsidRPr="00FB52A2">
      <w:rPr>
        <w:rFonts w:ascii="Arial" w:hAnsi="Arial" w:cs="Arial"/>
        <w:b w:val="0"/>
        <w:color w:val="FF0000"/>
        <w:sz w:val="24"/>
        <w:szCs w:val="24"/>
      </w:rPr>
      <w:t xml:space="preserve">CHAPTER 14 </w:t>
    </w:r>
    <w:r>
      <w:rPr>
        <w:rFonts w:ascii="Arial" w:hAnsi="Arial" w:cs="Arial"/>
        <w:b w:val="0"/>
        <w:color w:val="FF0000"/>
        <w:sz w:val="24"/>
        <w:szCs w:val="24"/>
      </w:rPr>
      <w:t>–</w:t>
    </w:r>
    <w:r w:rsidRPr="00FB52A2">
      <w:rPr>
        <w:rFonts w:ascii="Arial" w:hAnsi="Arial" w:cs="Arial"/>
        <w:b w:val="0"/>
        <w:color w:val="FF0000"/>
        <w:sz w:val="24"/>
        <w:szCs w:val="24"/>
      </w:rPr>
      <w:t xml:space="preserve"> RESIDENTIAL</w:t>
    </w:r>
    <w:r>
      <w:rPr>
        <w:rFonts w:ascii="Arial" w:hAnsi="Arial" w:cs="Arial"/>
        <w:b w:val="0"/>
        <w:color w:val="FF0000"/>
        <w:sz w:val="24"/>
        <w:szCs w:val="24"/>
      </w:rPr>
      <w:t xml:space="preserve"> SMALL SETTLEMENT</w:t>
    </w:r>
    <w:r>
      <w:rPr>
        <w:rFonts w:ascii="Arial" w:hAnsi="Arial" w:cs="Arial"/>
        <w:b w:val="0"/>
        <w:color w:val="FF0000"/>
        <w:sz w:val="24"/>
        <w:szCs w:val="24"/>
      </w:rPr>
      <w:tab/>
    </w:r>
  </w:p>
  <w:p w:rsidR="00FB2C67" w:rsidRDefault="00FB2C67" w:rsidP="006C0051">
    <w:pPr>
      <w:pStyle w:val="Title"/>
      <w:tabs>
        <w:tab w:val="left" w:pos="0"/>
        <w:tab w:val="left" w:leader="underscore" w:pos="9639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759C"/>
    <w:multiLevelType w:val="hybridMultilevel"/>
    <w:tmpl w:val="4B7C4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5991"/>
    <w:multiLevelType w:val="hybridMultilevel"/>
    <w:tmpl w:val="400EC458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00ED"/>
    <w:multiLevelType w:val="hybridMultilevel"/>
    <w:tmpl w:val="58E841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7C91"/>
    <w:multiLevelType w:val="hybridMultilevel"/>
    <w:tmpl w:val="3BF8E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410"/>
    <w:multiLevelType w:val="hybridMultilevel"/>
    <w:tmpl w:val="B0A8D44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1E2C78"/>
    <w:multiLevelType w:val="hybridMultilevel"/>
    <w:tmpl w:val="BA92F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E5EB5"/>
    <w:multiLevelType w:val="hybridMultilevel"/>
    <w:tmpl w:val="27D09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639D"/>
    <w:multiLevelType w:val="hybridMultilevel"/>
    <w:tmpl w:val="C5528320"/>
    <w:lvl w:ilvl="0" w:tplc="F5CC22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65154"/>
    <w:multiLevelType w:val="hybridMultilevel"/>
    <w:tmpl w:val="15D884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72F97"/>
    <w:multiLevelType w:val="hybridMultilevel"/>
    <w:tmpl w:val="EE641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85B1B"/>
    <w:multiLevelType w:val="hybridMultilevel"/>
    <w:tmpl w:val="4F6EA9EE"/>
    <w:lvl w:ilvl="0" w:tplc="F1A4C20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4FA66177"/>
    <w:multiLevelType w:val="hybridMultilevel"/>
    <w:tmpl w:val="9F5617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AD6294"/>
    <w:multiLevelType w:val="hybridMultilevel"/>
    <w:tmpl w:val="12268D3A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0B155F2"/>
    <w:multiLevelType w:val="hybridMultilevel"/>
    <w:tmpl w:val="CF7C52F8"/>
    <w:lvl w:ilvl="0" w:tplc="6F4AEB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E3A06"/>
    <w:multiLevelType w:val="hybridMultilevel"/>
    <w:tmpl w:val="6480E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F76E4"/>
    <w:multiLevelType w:val="hybridMultilevel"/>
    <w:tmpl w:val="A72CAF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61AA0"/>
    <w:multiLevelType w:val="hybridMultilevel"/>
    <w:tmpl w:val="0D4EAE10"/>
    <w:lvl w:ilvl="0" w:tplc="96C443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76E24"/>
    <w:multiLevelType w:val="hybridMultilevel"/>
    <w:tmpl w:val="63BCB6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16"/>
  </w:num>
  <w:num w:numId="12">
    <w:abstractNumId w:val="1"/>
  </w:num>
  <w:num w:numId="13">
    <w:abstractNumId w:val="13"/>
  </w:num>
  <w:num w:numId="14">
    <w:abstractNumId w:val="8"/>
  </w:num>
  <w:num w:numId="15">
    <w:abstractNumId w:val="12"/>
  </w:num>
  <w:num w:numId="16">
    <w:abstractNumId w:val="3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98"/>
    <w:rsid w:val="00004C9A"/>
    <w:rsid w:val="000342A2"/>
    <w:rsid w:val="00034A5A"/>
    <w:rsid w:val="0005230F"/>
    <w:rsid w:val="000604A6"/>
    <w:rsid w:val="00071B4E"/>
    <w:rsid w:val="0008377C"/>
    <w:rsid w:val="000A5E19"/>
    <w:rsid w:val="000A6022"/>
    <w:rsid w:val="000B4376"/>
    <w:rsid w:val="000C4A42"/>
    <w:rsid w:val="000D2024"/>
    <w:rsid w:val="000D44D0"/>
    <w:rsid w:val="000E0402"/>
    <w:rsid w:val="000E16F1"/>
    <w:rsid w:val="000F04F8"/>
    <w:rsid w:val="000F3B84"/>
    <w:rsid w:val="000F3F1D"/>
    <w:rsid w:val="000F411C"/>
    <w:rsid w:val="001031CC"/>
    <w:rsid w:val="0010585E"/>
    <w:rsid w:val="00106BFA"/>
    <w:rsid w:val="001152F9"/>
    <w:rsid w:val="001157D9"/>
    <w:rsid w:val="00120289"/>
    <w:rsid w:val="00120A0E"/>
    <w:rsid w:val="00122067"/>
    <w:rsid w:val="0012297F"/>
    <w:rsid w:val="00124877"/>
    <w:rsid w:val="00131B20"/>
    <w:rsid w:val="001350CF"/>
    <w:rsid w:val="001551D4"/>
    <w:rsid w:val="00156B7B"/>
    <w:rsid w:val="00183F30"/>
    <w:rsid w:val="00187213"/>
    <w:rsid w:val="0019781C"/>
    <w:rsid w:val="001A35D4"/>
    <w:rsid w:val="001B46D3"/>
    <w:rsid w:val="001C7B0E"/>
    <w:rsid w:val="001D1CF1"/>
    <w:rsid w:val="001E0B6C"/>
    <w:rsid w:val="001E4BCF"/>
    <w:rsid w:val="001F77A2"/>
    <w:rsid w:val="002034C9"/>
    <w:rsid w:val="002077CA"/>
    <w:rsid w:val="002127C7"/>
    <w:rsid w:val="0023430A"/>
    <w:rsid w:val="00252A68"/>
    <w:rsid w:val="00262E2C"/>
    <w:rsid w:val="00282924"/>
    <w:rsid w:val="00290FBA"/>
    <w:rsid w:val="00297E64"/>
    <w:rsid w:val="002B34BB"/>
    <w:rsid w:val="002B598E"/>
    <w:rsid w:val="002D1831"/>
    <w:rsid w:val="002D6D24"/>
    <w:rsid w:val="002D7048"/>
    <w:rsid w:val="002E298E"/>
    <w:rsid w:val="002F0948"/>
    <w:rsid w:val="003032EE"/>
    <w:rsid w:val="00305EBB"/>
    <w:rsid w:val="003263C3"/>
    <w:rsid w:val="00331254"/>
    <w:rsid w:val="00344920"/>
    <w:rsid w:val="003556D9"/>
    <w:rsid w:val="00357BCA"/>
    <w:rsid w:val="00371647"/>
    <w:rsid w:val="00394D04"/>
    <w:rsid w:val="003A0399"/>
    <w:rsid w:val="003A25FB"/>
    <w:rsid w:val="003B5C7B"/>
    <w:rsid w:val="003B5EEB"/>
    <w:rsid w:val="003F6D30"/>
    <w:rsid w:val="004035B3"/>
    <w:rsid w:val="004068BD"/>
    <w:rsid w:val="004304B0"/>
    <w:rsid w:val="00442E03"/>
    <w:rsid w:val="004467E8"/>
    <w:rsid w:val="00447558"/>
    <w:rsid w:val="00450665"/>
    <w:rsid w:val="00457F82"/>
    <w:rsid w:val="00490EEE"/>
    <w:rsid w:val="00496EB0"/>
    <w:rsid w:val="004B1B6C"/>
    <w:rsid w:val="004C76A5"/>
    <w:rsid w:val="004D266E"/>
    <w:rsid w:val="004D33D5"/>
    <w:rsid w:val="004D485A"/>
    <w:rsid w:val="004D5FA5"/>
    <w:rsid w:val="004E0D1E"/>
    <w:rsid w:val="004F7E0A"/>
    <w:rsid w:val="0050220A"/>
    <w:rsid w:val="00515CCF"/>
    <w:rsid w:val="005408F2"/>
    <w:rsid w:val="005425C5"/>
    <w:rsid w:val="005561A8"/>
    <w:rsid w:val="00565AE1"/>
    <w:rsid w:val="005662E4"/>
    <w:rsid w:val="005A37EF"/>
    <w:rsid w:val="005B1644"/>
    <w:rsid w:val="005B406D"/>
    <w:rsid w:val="005E427B"/>
    <w:rsid w:val="005F2798"/>
    <w:rsid w:val="00601712"/>
    <w:rsid w:val="00604760"/>
    <w:rsid w:val="0060724D"/>
    <w:rsid w:val="00612051"/>
    <w:rsid w:val="00612DCF"/>
    <w:rsid w:val="00651EC9"/>
    <w:rsid w:val="00656D89"/>
    <w:rsid w:val="006612C9"/>
    <w:rsid w:val="00667D6C"/>
    <w:rsid w:val="0067690B"/>
    <w:rsid w:val="00682169"/>
    <w:rsid w:val="0068662F"/>
    <w:rsid w:val="006904C7"/>
    <w:rsid w:val="006905AD"/>
    <w:rsid w:val="006963BC"/>
    <w:rsid w:val="006B3A66"/>
    <w:rsid w:val="006B4408"/>
    <w:rsid w:val="006B6F83"/>
    <w:rsid w:val="006B6FA4"/>
    <w:rsid w:val="006C0051"/>
    <w:rsid w:val="006D1223"/>
    <w:rsid w:val="006D61BA"/>
    <w:rsid w:val="006E357F"/>
    <w:rsid w:val="006F6FC3"/>
    <w:rsid w:val="007059F6"/>
    <w:rsid w:val="0070682F"/>
    <w:rsid w:val="007173AB"/>
    <w:rsid w:val="0072749E"/>
    <w:rsid w:val="00736DE9"/>
    <w:rsid w:val="00760E4A"/>
    <w:rsid w:val="00765D00"/>
    <w:rsid w:val="00772AFE"/>
    <w:rsid w:val="00772F39"/>
    <w:rsid w:val="007854D1"/>
    <w:rsid w:val="007A5E2C"/>
    <w:rsid w:val="007B15CC"/>
    <w:rsid w:val="007B58D1"/>
    <w:rsid w:val="007C701F"/>
    <w:rsid w:val="007E40D1"/>
    <w:rsid w:val="00817057"/>
    <w:rsid w:val="0083153B"/>
    <w:rsid w:val="00833566"/>
    <w:rsid w:val="00834D50"/>
    <w:rsid w:val="00836B96"/>
    <w:rsid w:val="00844118"/>
    <w:rsid w:val="00850289"/>
    <w:rsid w:val="00850E1F"/>
    <w:rsid w:val="00863750"/>
    <w:rsid w:val="00865690"/>
    <w:rsid w:val="0086748E"/>
    <w:rsid w:val="00873037"/>
    <w:rsid w:val="00894551"/>
    <w:rsid w:val="00894C21"/>
    <w:rsid w:val="00895F0D"/>
    <w:rsid w:val="008A624B"/>
    <w:rsid w:val="008D7309"/>
    <w:rsid w:val="008F6CD3"/>
    <w:rsid w:val="00902286"/>
    <w:rsid w:val="009039AE"/>
    <w:rsid w:val="00905FB3"/>
    <w:rsid w:val="00916EA7"/>
    <w:rsid w:val="009242A0"/>
    <w:rsid w:val="0092512B"/>
    <w:rsid w:val="00927224"/>
    <w:rsid w:val="00943200"/>
    <w:rsid w:val="00954602"/>
    <w:rsid w:val="0096074B"/>
    <w:rsid w:val="009624C1"/>
    <w:rsid w:val="0098434F"/>
    <w:rsid w:val="00994B04"/>
    <w:rsid w:val="00996BE2"/>
    <w:rsid w:val="009B3995"/>
    <w:rsid w:val="009B592A"/>
    <w:rsid w:val="00A21502"/>
    <w:rsid w:val="00A24DDC"/>
    <w:rsid w:val="00A27AF2"/>
    <w:rsid w:val="00A27D39"/>
    <w:rsid w:val="00A27E8D"/>
    <w:rsid w:val="00A342C0"/>
    <w:rsid w:val="00A41023"/>
    <w:rsid w:val="00A45386"/>
    <w:rsid w:val="00A5544B"/>
    <w:rsid w:val="00A654FE"/>
    <w:rsid w:val="00A97530"/>
    <w:rsid w:val="00AA1CEE"/>
    <w:rsid w:val="00AA42DD"/>
    <w:rsid w:val="00AB5828"/>
    <w:rsid w:val="00AB6677"/>
    <w:rsid w:val="00AC6057"/>
    <w:rsid w:val="00AD271D"/>
    <w:rsid w:val="00AD7071"/>
    <w:rsid w:val="00B01B0B"/>
    <w:rsid w:val="00B0513E"/>
    <w:rsid w:val="00B102C2"/>
    <w:rsid w:val="00B14ECB"/>
    <w:rsid w:val="00B21B6A"/>
    <w:rsid w:val="00B368C4"/>
    <w:rsid w:val="00B54B77"/>
    <w:rsid w:val="00B569EF"/>
    <w:rsid w:val="00B71725"/>
    <w:rsid w:val="00B77CE0"/>
    <w:rsid w:val="00B81DF0"/>
    <w:rsid w:val="00B85F96"/>
    <w:rsid w:val="00B91352"/>
    <w:rsid w:val="00B9199C"/>
    <w:rsid w:val="00B92B8C"/>
    <w:rsid w:val="00B9624C"/>
    <w:rsid w:val="00BA51D3"/>
    <w:rsid w:val="00BA55F2"/>
    <w:rsid w:val="00BC4426"/>
    <w:rsid w:val="00BE6D1D"/>
    <w:rsid w:val="00C02E57"/>
    <w:rsid w:val="00C13A67"/>
    <w:rsid w:val="00C241F9"/>
    <w:rsid w:val="00C263E2"/>
    <w:rsid w:val="00C323CB"/>
    <w:rsid w:val="00C47BAA"/>
    <w:rsid w:val="00C5115E"/>
    <w:rsid w:val="00C53606"/>
    <w:rsid w:val="00C54CA2"/>
    <w:rsid w:val="00C6488E"/>
    <w:rsid w:val="00C65A7B"/>
    <w:rsid w:val="00C72805"/>
    <w:rsid w:val="00C7653D"/>
    <w:rsid w:val="00C85D81"/>
    <w:rsid w:val="00C96318"/>
    <w:rsid w:val="00CA1A1D"/>
    <w:rsid w:val="00CA292D"/>
    <w:rsid w:val="00CB0AED"/>
    <w:rsid w:val="00CC224E"/>
    <w:rsid w:val="00CE5298"/>
    <w:rsid w:val="00CE7263"/>
    <w:rsid w:val="00CE735F"/>
    <w:rsid w:val="00CF185F"/>
    <w:rsid w:val="00CF75C8"/>
    <w:rsid w:val="00D1398B"/>
    <w:rsid w:val="00D35995"/>
    <w:rsid w:val="00D362E1"/>
    <w:rsid w:val="00D36B58"/>
    <w:rsid w:val="00D50266"/>
    <w:rsid w:val="00D50A45"/>
    <w:rsid w:val="00D618FF"/>
    <w:rsid w:val="00D64B80"/>
    <w:rsid w:val="00D728BC"/>
    <w:rsid w:val="00D80327"/>
    <w:rsid w:val="00DA53EF"/>
    <w:rsid w:val="00DC1C91"/>
    <w:rsid w:val="00DC74A8"/>
    <w:rsid w:val="00DD0143"/>
    <w:rsid w:val="00DD3F29"/>
    <w:rsid w:val="00DD4B11"/>
    <w:rsid w:val="00DE5660"/>
    <w:rsid w:val="00DF0033"/>
    <w:rsid w:val="00DF1697"/>
    <w:rsid w:val="00DF2377"/>
    <w:rsid w:val="00DF4998"/>
    <w:rsid w:val="00E105CB"/>
    <w:rsid w:val="00E22F94"/>
    <w:rsid w:val="00E32455"/>
    <w:rsid w:val="00E374FC"/>
    <w:rsid w:val="00E536D2"/>
    <w:rsid w:val="00E567E8"/>
    <w:rsid w:val="00E6086A"/>
    <w:rsid w:val="00E67794"/>
    <w:rsid w:val="00E84A21"/>
    <w:rsid w:val="00E85C15"/>
    <w:rsid w:val="00EA0FE1"/>
    <w:rsid w:val="00EB149B"/>
    <w:rsid w:val="00EB4502"/>
    <w:rsid w:val="00EC2C2D"/>
    <w:rsid w:val="00EC4A26"/>
    <w:rsid w:val="00ED34BD"/>
    <w:rsid w:val="00ED5B63"/>
    <w:rsid w:val="00EE3BCC"/>
    <w:rsid w:val="00EF499C"/>
    <w:rsid w:val="00F01ADF"/>
    <w:rsid w:val="00F03232"/>
    <w:rsid w:val="00F03525"/>
    <w:rsid w:val="00F0459D"/>
    <w:rsid w:val="00F108C4"/>
    <w:rsid w:val="00F42A53"/>
    <w:rsid w:val="00F43BF7"/>
    <w:rsid w:val="00F45E1C"/>
    <w:rsid w:val="00F540B3"/>
    <w:rsid w:val="00F71915"/>
    <w:rsid w:val="00F73754"/>
    <w:rsid w:val="00F86BCB"/>
    <w:rsid w:val="00F902CE"/>
    <w:rsid w:val="00F978BE"/>
    <w:rsid w:val="00FA4196"/>
    <w:rsid w:val="00FB2163"/>
    <w:rsid w:val="00FB2C67"/>
    <w:rsid w:val="00FB52A2"/>
    <w:rsid w:val="00FB5D22"/>
    <w:rsid w:val="00FB7F12"/>
    <w:rsid w:val="00FC2E49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AE7E4C-B6D1-4BED-9ABC-EE4EFAE1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376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Header">
    <w:name w:val="header"/>
    <w:basedOn w:val="Normal"/>
    <w:rsid w:val="00CE52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52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5298"/>
  </w:style>
  <w:style w:type="paragraph" w:styleId="BalloonText">
    <w:name w:val="Balloon Text"/>
    <w:basedOn w:val="Normal"/>
    <w:semiHidden/>
    <w:rsid w:val="00E567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2E57"/>
    <w:rPr>
      <w:color w:val="0000FF"/>
      <w:u w:val="single"/>
    </w:rPr>
  </w:style>
  <w:style w:type="character" w:customStyle="1" w:styleId="contents-child-anchor">
    <w:name w:val="contents-child-anchor"/>
    <w:basedOn w:val="DefaultParagraphFont"/>
    <w:rsid w:val="00D362E1"/>
  </w:style>
  <w:style w:type="character" w:styleId="CommentReference">
    <w:name w:val="annotation reference"/>
    <w:semiHidden/>
    <w:rsid w:val="00994B04"/>
    <w:rPr>
      <w:sz w:val="16"/>
      <w:szCs w:val="16"/>
    </w:rPr>
  </w:style>
  <w:style w:type="paragraph" w:styleId="CommentText">
    <w:name w:val="annotation text"/>
    <w:basedOn w:val="Normal"/>
    <w:semiHidden/>
    <w:rsid w:val="00994B04"/>
  </w:style>
  <w:style w:type="paragraph" w:styleId="CommentSubject">
    <w:name w:val="annotation subject"/>
    <w:basedOn w:val="CommentText"/>
    <w:next w:val="CommentText"/>
    <w:semiHidden/>
    <w:rsid w:val="00994B04"/>
    <w:rPr>
      <w:b/>
      <w:bCs/>
    </w:rPr>
  </w:style>
  <w:style w:type="character" w:customStyle="1" w:styleId="TitleChar">
    <w:name w:val="Title Char"/>
    <w:link w:val="Title"/>
    <w:rsid w:val="00D1398B"/>
    <w:rPr>
      <w:b/>
      <w:lang w:val="en-AU" w:eastAsia="en-US"/>
    </w:rPr>
  </w:style>
  <w:style w:type="character" w:styleId="HTMLDefinition">
    <w:name w:val="HTML Definition"/>
    <w:basedOn w:val="DefaultParagraphFont"/>
    <w:uiPriority w:val="99"/>
    <w:unhideWhenUsed/>
    <w:rsid w:val="00AA1C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7391">
      <w:bodyDiv w:val="1"/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  <w:div w:id="1110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t.nz/act/public/1991/0069/latest/DLM747135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islation.govt.nz/act/public/1991/0069/latest/DLM747136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9166-0AAE-4984-A960-61302425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P-143 - Business Zone Rules – Central City Mixed Use</vt:lpstr>
    </vt:vector>
  </TitlesOfParts>
  <Company>Christchurch City Council</Company>
  <LinksUpToDate>false</LinksUpToDate>
  <CharactersWithSpaces>15914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P-129 -Residential Small Settlement zone checksheet</dc:title>
  <dc:subject/>
  <dc:creator>elvidgec</dc:creator>
  <cp:keywords/>
  <cp:lastModifiedBy>Elvidge, Catherine</cp:lastModifiedBy>
  <cp:revision>14</cp:revision>
  <cp:lastPrinted>2012-08-20T22:52:00Z</cp:lastPrinted>
  <dcterms:created xsi:type="dcterms:W3CDTF">2016-05-09T02:33:00Z</dcterms:created>
  <dcterms:modified xsi:type="dcterms:W3CDTF">2017-12-07T03:42:00Z</dcterms:modified>
</cp:coreProperties>
</file>