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5EC2" w14:textId="35E5D69A" w:rsidR="003F6606" w:rsidRPr="00114E10" w:rsidRDefault="00114E10" w:rsidP="00114E10">
      <w:pPr>
        <w:pStyle w:val="Title"/>
        <w:spacing w:before="120"/>
        <w:jc w:val="left"/>
        <w:rPr>
          <w:rFonts w:asciiTheme="minorHAnsi" w:hAnsiTheme="minorHAnsi" w:cstheme="minorHAnsi"/>
          <w:sz w:val="36"/>
          <w:szCs w:val="36"/>
        </w:rPr>
      </w:pPr>
      <w:r w:rsidRPr="00114E10">
        <w:rPr>
          <w:rFonts w:asciiTheme="minorHAnsi" w:hAnsiTheme="minorHAnsi" w:cstheme="minorHAnsi"/>
          <w:sz w:val="36"/>
          <w:szCs w:val="36"/>
        </w:rPr>
        <w:t>TOWN CENTRE</w:t>
      </w:r>
      <w:r w:rsidR="00BA46B9" w:rsidRPr="00114E10">
        <w:rPr>
          <w:rFonts w:asciiTheme="minorHAnsi" w:hAnsiTheme="minorHAnsi" w:cstheme="minorHAnsi"/>
          <w:sz w:val="36"/>
          <w:szCs w:val="36"/>
        </w:rPr>
        <w:t xml:space="preserve"> ZONE</w:t>
      </w:r>
      <w:r w:rsidR="00214AA7">
        <w:rPr>
          <w:rFonts w:asciiTheme="minorHAnsi" w:hAnsiTheme="minorHAnsi" w:cstheme="minorHAnsi"/>
          <w:sz w:val="36"/>
          <w:szCs w:val="36"/>
        </w:rPr>
        <w:t xml:space="preserve"> – </w:t>
      </w:r>
      <w:r w:rsidR="00820EFC">
        <w:rPr>
          <w:rFonts w:asciiTheme="minorHAnsi" w:hAnsiTheme="minorHAnsi" w:cstheme="minorHAnsi"/>
          <w:sz w:val="36"/>
          <w:szCs w:val="36"/>
        </w:rPr>
        <w:t xml:space="preserve">Sub-chapter </w:t>
      </w:r>
      <w:r w:rsidR="00214AA7">
        <w:rPr>
          <w:rFonts w:asciiTheme="minorHAnsi" w:hAnsiTheme="minorHAnsi" w:cstheme="minorHAnsi"/>
          <w:sz w:val="36"/>
          <w:szCs w:val="36"/>
        </w:rPr>
        <w:t>15.4</w:t>
      </w:r>
    </w:p>
    <w:p w14:paraId="1A241B76" w14:textId="77777777" w:rsidR="003F6606" w:rsidRPr="00114E10" w:rsidRDefault="003F6606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763E2F51" w14:textId="77777777" w:rsidR="003F6606" w:rsidRPr="00114E10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114E10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114E10">
        <w:rPr>
          <w:rFonts w:asciiTheme="minorHAnsi" w:hAnsiTheme="minorHAnsi" w:cstheme="minorHAnsi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AAA3222" w14:textId="77777777" w:rsidR="003F6606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4E10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114E10">
        <w:rPr>
          <w:rFonts w:asciiTheme="minorHAnsi" w:hAnsiTheme="minorHAnsi" w:cstheme="minorHAnsi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2BE9C700" w14:textId="16CE51FF" w:rsidR="00820EFC" w:rsidRPr="00A43DA1" w:rsidRDefault="00D15E37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</w:pP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Previously Commercial Core</w:t>
      </w:r>
      <w:r w:rsidR="00A43DA1"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 zone -</w:t>
      </w:r>
      <w:r w:rsidR="00420DF7"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 </w:t>
      </w:r>
      <w:r w:rsidR="00A43DA1"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renamed and rules amended via PC14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929"/>
        <w:gridCol w:w="3118"/>
      </w:tblGrid>
      <w:tr w:rsidR="00B65F15" w:rsidRPr="00114E10" w14:paraId="6AB2C0D1" w14:textId="77777777" w:rsidTr="00114E10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7E5217F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2E6F5CB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929" w:type="dxa"/>
            <w:shd w:val="clear" w:color="auto" w:fill="008080"/>
            <w:vAlign w:val="center"/>
          </w:tcPr>
          <w:p w14:paraId="0144B2A0" w14:textId="77777777" w:rsidR="00B65F15" w:rsidRPr="00114E10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118" w:type="dxa"/>
            <w:shd w:val="clear" w:color="auto" w:fill="008080"/>
            <w:vAlign w:val="center"/>
          </w:tcPr>
          <w:p w14:paraId="438544F2" w14:textId="77777777" w:rsidR="00B65F15" w:rsidRPr="00114E10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B65F15" w:rsidRPr="00114E10" w14:paraId="14F98749" w14:textId="77777777" w:rsidTr="00114E10">
        <w:tc>
          <w:tcPr>
            <w:tcW w:w="647" w:type="dxa"/>
          </w:tcPr>
          <w:p w14:paraId="669C137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0CA40B56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0C5397D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118" w:type="dxa"/>
          </w:tcPr>
          <w:p w14:paraId="7DF401E4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856FEDE" w14:textId="77777777" w:rsidTr="00114E10">
        <w:tc>
          <w:tcPr>
            <w:tcW w:w="647" w:type="dxa"/>
          </w:tcPr>
          <w:p w14:paraId="43C7ADF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E69001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7D366B9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118" w:type="dxa"/>
          </w:tcPr>
          <w:p w14:paraId="2BCB7BB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261CC" w:rsidRPr="00114E10" w14:paraId="541E14E0" w14:textId="77777777" w:rsidTr="008C465B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A2951F9" w14:textId="77777777" w:rsidR="002261CC" w:rsidRPr="00114E10" w:rsidRDefault="002261CC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3E3A816B" w14:textId="77777777" w:rsidR="002261CC" w:rsidRPr="00114E10" w:rsidRDefault="002261CC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6583B60B" w14:textId="77777777" w:rsidR="002261CC" w:rsidRPr="00114E10" w:rsidRDefault="002261CC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118" w:type="dxa"/>
          </w:tcPr>
          <w:p w14:paraId="08EBAB7A" w14:textId="77777777" w:rsidR="002261CC" w:rsidRPr="00114E10" w:rsidRDefault="002261CC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22C568C7" w14:textId="77777777" w:rsidTr="00114E10">
        <w:tc>
          <w:tcPr>
            <w:tcW w:w="647" w:type="dxa"/>
          </w:tcPr>
          <w:p w14:paraId="39B510E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725739EC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17560D2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5B43FCF7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5A4C8178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440FCE75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04DC9B9B" w14:textId="7339029D" w:rsidR="00B65F15" w:rsidRPr="00114E10" w:rsidRDefault="00B65F15" w:rsidP="002261C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</w:tc>
        <w:tc>
          <w:tcPr>
            <w:tcW w:w="3118" w:type="dxa"/>
          </w:tcPr>
          <w:p w14:paraId="1E4A485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D61BF88" w14:textId="77777777" w:rsidTr="00114E10">
        <w:tc>
          <w:tcPr>
            <w:tcW w:w="647" w:type="dxa"/>
          </w:tcPr>
          <w:p w14:paraId="0A515ED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6EB0B2C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0BC65CA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118" w:type="dxa"/>
          </w:tcPr>
          <w:p w14:paraId="53DC16C1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517D500A" w14:textId="77777777" w:rsidTr="00114E10">
        <w:tc>
          <w:tcPr>
            <w:tcW w:w="647" w:type="dxa"/>
          </w:tcPr>
          <w:p w14:paraId="1C8FCDD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3D8785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328E57A9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118" w:type="dxa"/>
          </w:tcPr>
          <w:p w14:paraId="19C5BA0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6099B8C2" w14:textId="77777777" w:rsidTr="00114E10">
        <w:tc>
          <w:tcPr>
            <w:tcW w:w="647" w:type="dxa"/>
          </w:tcPr>
          <w:p w14:paraId="4F7478C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2497E3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187D139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118" w:type="dxa"/>
          </w:tcPr>
          <w:p w14:paraId="1164BC5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FAF9DBE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0451C6F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049C49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3906F7A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118" w:type="dxa"/>
          </w:tcPr>
          <w:p w14:paraId="5B57504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261CC" w:rsidRPr="00114E10" w14:paraId="14B37507" w14:textId="77777777" w:rsidTr="008C465B">
        <w:tc>
          <w:tcPr>
            <w:tcW w:w="647" w:type="dxa"/>
          </w:tcPr>
          <w:p w14:paraId="591E19F7" w14:textId="77777777" w:rsidR="002261CC" w:rsidRPr="00114E10" w:rsidRDefault="002261CC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72D6F736" w14:textId="77777777" w:rsidR="002261CC" w:rsidRPr="00114E10" w:rsidRDefault="002261CC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3BD6D4B1" w14:textId="77777777" w:rsidR="002261CC" w:rsidRPr="00114E10" w:rsidRDefault="002261CC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118" w:type="dxa"/>
          </w:tcPr>
          <w:p w14:paraId="3BAA70BA" w14:textId="77777777" w:rsidR="002261CC" w:rsidRPr="00114E10" w:rsidRDefault="002261CC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C14FC" w:rsidRPr="00114E10" w14:paraId="34479B94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473F1CDA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B42A63E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26F08A91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118" w:type="dxa"/>
          </w:tcPr>
          <w:p w14:paraId="7500A1AF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261CC" w:rsidRPr="00114E10" w14:paraId="486FFDBF" w14:textId="77777777" w:rsidTr="008C465B">
        <w:tc>
          <w:tcPr>
            <w:tcW w:w="647" w:type="dxa"/>
          </w:tcPr>
          <w:p w14:paraId="5730A5F1" w14:textId="77777777" w:rsidR="002261CC" w:rsidRPr="00114E10" w:rsidRDefault="002261CC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005B03AB" w14:textId="77777777" w:rsidR="002261CC" w:rsidRPr="00114E10" w:rsidRDefault="002261CC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3EA866ED" w14:textId="77777777" w:rsidR="002261CC" w:rsidRPr="00114E10" w:rsidRDefault="002261CC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118" w:type="dxa"/>
          </w:tcPr>
          <w:p w14:paraId="5D816797" w14:textId="77777777" w:rsidR="002261CC" w:rsidRPr="00114E10" w:rsidRDefault="002261CC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073B7033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3A2850E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37B4D3C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2F2E8BE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118" w:type="dxa"/>
          </w:tcPr>
          <w:p w14:paraId="27B9353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E4C199D" w14:textId="77777777" w:rsidR="00B65F15" w:rsidRPr="00114E10" w:rsidRDefault="00B65F15" w:rsidP="003F6606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69D1C6F6" w14:textId="77777777" w:rsidTr="00114E10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p w14:paraId="187F61A5" w14:textId="77777777" w:rsidR="003F6606" w:rsidRPr="00114E10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3F6606" w:rsidRPr="00114E10" w14:paraId="485204A4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2FCACB4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11E4F23B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72D84F2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4C593910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0D88E16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573C978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4A8E88E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59263AB0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A6640E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0C3AB030" w14:textId="77777777" w:rsidTr="00114E10">
        <w:tc>
          <w:tcPr>
            <w:tcW w:w="10343" w:type="dxa"/>
            <w:gridSpan w:val="5"/>
            <w:shd w:val="clear" w:color="auto" w:fill="E6E6E6"/>
          </w:tcPr>
          <w:p w14:paraId="15EEFBB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AD4D09" w:rsidRPr="00114E10" w14:paraId="476CABFB" w14:textId="77777777" w:rsidTr="00B44BC3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331E6B8C" w14:textId="77777777" w:rsidR="00AD4D09" w:rsidRPr="00114E10" w:rsidRDefault="00AD4D09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110AB4F" w14:textId="77777777" w:rsidR="00AD4D09" w:rsidRPr="00114E10" w:rsidRDefault="00AD4D09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788BA2E" w14:textId="77777777" w:rsidR="00AD4D09" w:rsidRPr="00114E10" w:rsidRDefault="00AD4D09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035B77AB" w14:textId="77777777" w:rsidR="00AD4D09" w:rsidRPr="00114E10" w:rsidRDefault="00AD4D09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15.4.1.1 Permitted activities</w:t>
            </w:r>
          </w:p>
          <w:p w14:paraId="670A7F62" w14:textId="7DA87E09" w:rsidR="00AD4D09" w:rsidRDefault="00AD4D09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</w:t>
            </w:r>
            <w:r w:rsidR="005849D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does it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comply with all relevant activity specific standards?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list.</w:t>
            </w:r>
          </w:p>
          <w:p w14:paraId="18C5CF82" w14:textId="77777777" w:rsidR="00AD4D09" w:rsidRDefault="00AD4D09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 activity stds:</w:t>
            </w:r>
          </w:p>
          <w:p w14:paraId="77B68032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Located above ground level</w:t>
            </w:r>
          </w:p>
          <w:p w14:paraId="2F60F36E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Min net floor area</w:t>
            </w:r>
          </w:p>
          <w:p w14:paraId="356780C7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service space &amp; waste management area</w:t>
            </w:r>
          </w:p>
          <w:p w14:paraId="5EC42683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living space</w:t>
            </w:r>
          </w:p>
          <w:p w14:paraId="26064FBA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Bedroom insulation</w:t>
            </w:r>
          </w:p>
          <w:p w14:paraId="5B2D47C5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Not located within the 50 dB Air Noise Contour</w:t>
            </w:r>
          </w:p>
          <w:p w14:paraId="7327290E" w14:textId="77777777" w:rsidR="00AD4D09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Street-façade glazing 20%</w:t>
            </w:r>
          </w:p>
          <w:p w14:paraId="405EEBC8" w14:textId="77777777" w:rsidR="00AD4D09" w:rsidRPr="00114E10" w:rsidRDefault="00AD4D09" w:rsidP="00B44BC3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Outlook space</w:t>
            </w:r>
          </w:p>
        </w:tc>
        <w:tc>
          <w:tcPr>
            <w:tcW w:w="2835" w:type="dxa"/>
          </w:tcPr>
          <w:p w14:paraId="14882E80" w14:textId="77777777" w:rsidR="00AD4D09" w:rsidRPr="00114E10" w:rsidRDefault="00AD4D09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33592509" w14:textId="77777777" w:rsidTr="00114E10">
        <w:tc>
          <w:tcPr>
            <w:tcW w:w="10343" w:type="dxa"/>
            <w:gridSpan w:val="5"/>
            <w:shd w:val="clear" w:color="auto" w:fill="E6E6E6"/>
            <w:vAlign w:val="center"/>
          </w:tcPr>
          <w:p w14:paraId="17CD203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3F6606" w:rsidRPr="00114E10" w14:paraId="52C30140" w14:textId="77777777" w:rsidTr="00114E10">
        <w:tc>
          <w:tcPr>
            <w:tcW w:w="534" w:type="dxa"/>
          </w:tcPr>
          <w:p w14:paraId="7DEEA24F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6D59AF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A625A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7FFE8B05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4.1.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2 Controlled activities</w:t>
            </w:r>
          </w:p>
          <w:p w14:paraId="6328307B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Activities P1-P23 requiring consent under 15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.4.2.1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(b) Urban design - new buildings and additions with certification.</w:t>
            </w:r>
          </w:p>
        </w:tc>
        <w:tc>
          <w:tcPr>
            <w:tcW w:w="2835" w:type="dxa"/>
          </w:tcPr>
          <w:p w14:paraId="17D8CDA8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35659E1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4AE87914" w14:textId="77777777" w:rsidTr="00114E10">
        <w:tc>
          <w:tcPr>
            <w:tcW w:w="534" w:type="dxa"/>
          </w:tcPr>
          <w:p w14:paraId="1E13DF7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B70FC0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814E9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3AFE92A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4.1.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3 Restricted discretionary activities</w:t>
            </w:r>
          </w:p>
          <w:p w14:paraId="1E90DDF5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Any activity prescribed in this rule as a restricted discretionary activity because it doesn't comply with the specified standards.</w:t>
            </w:r>
          </w:p>
          <w:p w14:paraId="369FB07C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Yard-based supplier</w:t>
            </w:r>
          </w:p>
          <w:p w14:paraId="27424C88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Service station</w:t>
            </w:r>
          </w:p>
          <w:p w14:paraId="357EBBD3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Drive through services</w:t>
            </w:r>
          </w:p>
          <w:p w14:paraId="59F84CE4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Parking building</w:t>
            </w:r>
          </w:p>
        </w:tc>
        <w:tc>
          <w:tcPr>
            <w:tcW w:w="2835" w:type="dxa"/>
          </w:tcPr>
          <w:p w14:paraId="25AAAC5C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FA2FD9F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60F65A4D" w14:textId="77777777" w:rsidTr="00114E10">
        <w:tc>
          <w:tcPr>
            <w:tcW w:w="534" w:type="dxa"/>
          </w:tcPr>
          <w:p w14:paraId="5379D69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42984DF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7DB0CB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983C10A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4.1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.4 Discretionary activities</w:t>
            </w:r>
          </w:p>
          <w:p w14:paraId="7EF9206D" w14:textId="10366C03" w:rsidR="003F6606" w:rsidRPr="00114E10" w:rsidRDefault="00BA46B9" w:rsidP="00114E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Any activity not provided for as a permitted, controlled, restricted discretionary, non-complying or prohibited activity.</w:t>
            </w:r>
          </w:p>
        </w:tc>
        <w:tc>
          <w:tcPr>
            <w:tcW w:w="2835" w:type="dxa"/>
          </w:tcPr>
          <w:p w14:paraId="365DEA56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BF3BF15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0F8CB064" w14:textId="77777777" w:rsidTr="00114E10">
        <w:tc>
          <w:tcPr>
            <w:tcW w:w="534" w:type="dxa"/>
          </w:tcPr>
          <w:p w14:paraId="65F3155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875F0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954C1D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39D4772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4.1.5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Non-complying activities</w:t>
            </w:r>
          </w:p>
          <w:p w14:paraId="23CAC14C" w14:textId="0CEF0F5D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Residential or guest accommodation not complying with P1</w:t>
            </w:r>
            <w:r w:rsidR="00F9262B">
              <w:rPr>
                <w:rFonts w:asciiTheme="minorHAnsi" w:hAnsiTheme="minorHAnsi" w:cstheme="minorHAnsi"/>
                <w:sz w:val="18"/>
                <w:szCs w:val="18"/>
              </w:rPr>
              <w:t>2 a.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or P2</w:t>
            </w:r>
            <w:r w:rsidR="00F9262B">
              <w:rPr>
                <w:rFonts w:asciiTheme="minorHAnsi" w:hAnsiTheme="minorHAnsi" w:cstheme="minorHAnsi"/>
                <w:sz w:val="18"/>
                <w:szCs w:val="18"/>
              </w:rPr>
              <w:t>1 f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4665521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Sensitive activity within the 50dBA air noise contour</w:t>
            </w:r>
          </w:p>
          <w:p w14:paraId="54DCA8A1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Sensitive activities, buildings and fences within setbacks from specified electricity distribution lines or support structures. </w:t>
            </w:r>
          </w:p>
        </w:tc>
        <w:tc>
          <w:tcPr>
            <w:tcW w:w="2835" w:type="dxa"/>
          </w:tcPr>
          <w:p w14:paraId="303E19EE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9759973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57971D" w14:textId="77777777" w:rsidR="003F6606" w:rsidRPr="00114E10" w:rsidRDefault="003F66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0F66204D" w14:textId="77777777" w:rsidTr="00114E10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724D0282" w14:textId="77777777" w:rsidR="003F6606" w:rsidRPr="00114E10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3F6606" w:rsidRPr="00114E10" w14:paraId="3D2441B9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5BF1F32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6C0AF0F1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7ACA4775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465D62C2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32FA378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4431811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3A327F5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3E4CE01D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63E7D65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25D2BEBF" w14:textId="77777777" w:rsidTr="00114E10">
        <w:tc>
          <w:tcPr>
            <w:tcW w:w="534" w:type="dxa"/>
          </w:tcPr>
          <w:p w14:paraId="07A288D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695EB4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262DFC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62ECA1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.4.2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.1 Urban design</w:t>
            </w:r>
          </w:p>
          <w:p w14:paraId="2C0B33D7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Permitted - new building or addition for P1-P23 that doesn't exceed:</w:t>
            </w:r>
          </w:p>
          <w:p w14:paraId="0CBFC4AF" w14:textId="4C6C5184" w:rsidR="003F6606" w:rsidRPr="00B525D4" w:rsidRDefault="00BA46B9" w:rsidP="00B525D4">
            <w:pPr>
              <w:pStyle w:val="Title"/>
              <w:numPr>
                <w:ilvl w:val="0"/>
                <w:numId w:val="24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4,000m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GLFA in a District Centre in Table 15.1</w:t>
            </w:r>
          </w:p>
          <w:p w14:paraId="33E91776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Controlled - new building or addition for P1-P23 that exceeds permitted standard above, and is certified by a qualified UD expert. Refer rule for certification requirements.</w:t>
            </w:r>
          </w:p>
          <w:p w14:paraId="1035D1F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Restricted discretionary - new building or addition that isn't a permitted or controlled activity under this rule.</w:t>
            </w:r>
          </w:p>
          <w:p w14:paraId="7BC4271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Exemptions:</w:t>
            </w:r>
          </w:p>
          <w:p w14:paraId="2F1BEEE7" w14:textId="77777777" w:rsidR="003F6606" w:rsidRPr="00114E10" w:rsidRDefault="00BA46B9" w:rsidP="003F6606">
            <w:pPr>
              <w:pStyle w:val="Title"/>
              <w:numPr>
                <w:ilvl w:val="0"/>
                <w:numId w:val="28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Repairs, maintenance, seismic, fire and/or building code upgrades, refurbishment and reinstatement works.</w:t>
            </w:r>
          </w:p>
          <w:p w14:paraId="5DA8D614" w14:textId="54FE64CF" w:rsidR="003F6606" w:rsidRPr="00114E10" w:rsidRDefault="00BA46B9" w:rsidP="003F6606">
            <w:pPr>
              <w:pStyle w:val="Title"/>
              <w:numPr>
                <w:ilvl w:val="0"/>
                <w:numId w:val="28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Community facility, Health facility, Education activity, Preschool, Care facility, Spiritual facility, Emergency Services facility.</w:t>
            </w:r>
          </w:p>
        </w:tc>
        <w:tc>
          <w:tcPr>
            <w:tcW w:w="2835" w:type="dxa"/>
          </w:tcPr>
          <w:p w14:paraId="3129A60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0" w:name="Check6"/>
      <w:tr w:rsidR="003F6606" w:rsidRPr="00114E10" w14:paraId="0BD7AB7D" w14:textId="77777777" w:rsidTr="00114E10">
        <w:tc>
          <w:tcPr>
            <w:tcW w:w="534" w:type="dxa"/>
          </w:tcPr>
          <w:p w14:paraId="20EC705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bookmarkStart w:id="1" w:name="Check5"/>
        <w:tc>
          <w:tcPr>
            <w:tcW w:w="567" w:type="dxa"/>
          </w:tcPr>
          <w:p w14:paraId="299D9F7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bookmarkStart w:id="2" w:name="Check4"/>
        <w:tc>
          <w:tcPr>
            <w:tcW w:w="567" w:type="dxa"/>
          </w:tcPr>
          <w:p w14:paraId="1EFBF32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40" w:type="dxa"/>
          </w:tcPr>
          <w:p w14:paraId="42ACAF62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4.2.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2 Maximum building height</w:t>
            </w:r>
          </w:p>
          <w:p w14:paraId="2E51B461" w14:textId="15EB5381" w:rsidR="002261CC" w:rsidRPr="000106B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Sites within </w:t>
            </w:r>
            <w:r w:rsidR="00B22E57">
              <w:rPr>
                <w:rFonts w:asciiTheme="minorHAnsi" w:hAnsiTheme="minorHAnsi" w:cstheme="minorHAnsi"/>
                <w:b w:val="0"/>
                <w:sz w:val="18"/>
                <w:szCs w:val="18"/>
              </w:rPr>
              <w:t>Town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Centre </w:t>
            </w:r>
            <w:r w:rsidR="00975644">
              <w:rPr>
                <w:rFonts w:asciiTheme="minorHAnsi" w:hAnsiTheme="minorHAnsi" w:cstheme="minorHAnsi"/>
                <w:b w:val="0"/>
                <w:sz w:val="18"/>
                <w:szCs w:val="18"/>
              </w:rPr>
              <w:t>at Ric</w:t>
            </w:r>
            <w:r w:rsidR="00B340C6">
              <w:rPr>
                <w:rFonts w:asciiTheme="minorHAnsi" w:hAnsiTheme="minorHAnsi" w:cstheme="minorHAnsi"/>
                <w:b w:val="0"/>
                <w:sz w:val="18"/>
                <w:szCs w:val="18"/>
              </w:rPr>
              <w:t>c</w:t>
            </w:r>
            <w:r w:rsidR="00975644">
              <w:rPr>
                <w:rFonts w:asciiTheme="minorHAnsi" w:hAnsiTheme="minorHAnsi" w:cstheme="minorHAnsi"/>
                <w:b w:val="0"/>
                <w:sz w:val="18"/>
                <w:szCs w:val="18"/>
              </w:rPr>
              <w:t>arton</w:t>
            </w:r>
            <w:r w:rsidR="00975644" w:rsidRPr="000106B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, Hornby or Papanui</w:t>
            </w:r>
            <w:r w:rsidR="00B340C6" w:rsidRPr="000106B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0106B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7E3B9B" w:rsidRPr="000106B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3</w:t>
            </w:r>
            <w:r w:rsidR="00B22E57" w:rsidRPr="000106B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2</w:t>
            </w:r>
            <w:r w:rsidRPr="000106BE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m</w:t>
            </w:r>
          </w:p>
          <w:p w14:paraId="166CF76A" w14:textId="75DB0C23" w:rsidR="003F6606" w:rsidRPr="00114E10" w:rsidRDefault="00975644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Sites within 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nother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Town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Centre - 2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</w:p>
        </w:tc>
        <w:tc>
          <w:tcPr>
            <w:tcW w:w="2835" w:type="dxa"/>
          </w:tcPr>
          <w:p w14:paraId="6D5C5FE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3" w:name="Check10"/>
      <w:tr w:rsidR="003F6606" w:rsidRPr="00114E10" w14:paraId="374696C9" w14:textId="77777777" w:rsidTr="00114E10">
        <w:tc>
          <w:tcPr>
            <w:tcW w:w="534" w:type="dxa"/>
          </w:tcPr>
          <w:p w14:paraId="6BDA7F0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bookmarkStart w:id="4" w:name="Check12"/>
        <w:tc>
          <w:tcPr>
            <w:tcW w:w="567" w:type="dxa"/>
          </w:tcPr>
          <w:p w14:paraId="3848E8B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4"/>
        <w:tc>
          <w:tcPr>
            <w:tcW w:w="567" w:type="dxa"/>
          </w:tcPr>
          <w:p w14:paraId="6015A4C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40" w:type="dxa"/>
          </w:tcPr>
          <w:p w14:paraId="395E50E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4.2.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3 Setback from road boundaries / street scene</w:t>
            </w:r>
          </w:p>
          <w:p w14:paraId="7251E6F5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of</w:t>
            </w:r>
            <w:r w:rsidR="003F660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site identified as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Key Pedestrian Frontage all buildings must:</w:t>
            </w:r>
          </w:p>
          <w:p w14:paraId="4B1644AE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Be built up to road boundary, except for ped/vehicle access or for a setback of up to 4m for a max width of 10m.</w:t>
            </w:r>
          </w:p>
          <w:p w14:paraId="3055B4D5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60% of ground floor elevation facing the street;</w:t>
            </w:r>
          </w:p>
          <w:p w14:paraId="63071F40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20% of each elevation above ground floor and facing the street.</w:t>
            </w:r>
          </w:p>
          <w:p w14:paraId="6E153E62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Rule doesn't apply to emergency service facilities.</w:t>
            </w:r>
          </w:p>
          <w:p w14:paraId="40071EBA" w14:textId="77777777" w:rsidR="002E0B99" w:rsidRPr="00114E10" w:rsidRDefault="002E0B99" w:rsidP="002E0B99">
            <w:pPr>
              <w:pStyle w:val="Title"/>
              <w:spacing w:before="40" w:after="40"/>
              <w:ind w:left="17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6C32996A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of sites other than Key Pedestrian Frontages:</w:t>
            </w:r>
          </w:p>
          <w:p w14:paraId="6C345B29" w14:textId="77777777" w:rsidR="003F6606" w:rsidRPr="00114E10" w:rsidRDefault="00BA46B9" w:rsidP="003F6606">
            <w:pPr>
              <w:pStyle w:val="Title"/>
              <w:numPr>
                <w:ilvl w:val="0"/>
                <w:numId w:val="26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3m minimum building setback for parts of building not building up to the road frontage; and</w:t>
            </w:r>
          </w:p>
          <w:p w14:paraId="2F9A2437" w14:textId="77777777" w:rsidR="003F6606" w:rsidRPr="00114E10" w:rsidRDefault="00BA46B9" w:rsidP="003F6606">
            <w:pPr>
              <w:pStyle w:val="Title"/>
              <w:numPr>
                <w:ilvl w:val="0"/>
                <w:numId w:val="26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40% of ground floor elevation facing arterial or collector road.</w:t>
            </w:r>
          </w:p>
          <w:p w14:paraId="0C92C6FF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frontage of a site that is not a Key Pedestrian Frontage and opposite a residential zone, and/or 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to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 local road:</w:t>
            </w:r>
          </w:p>
          <w:p w14:paraId="75E8DC15" w14:textId="77777777" w:rsidR="003F6606" w:rsidRPr="00114E10" w:rsidRDefault="00BA46B9" w:rsidP="003F6606">
            <w:pPr>
              <w:pStyle w:val="Title"/>
              <w:numPr>
                <w:ilvl w:val="0"/>
                <w:numId w:val="27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 strip of 1.5m min width and 1 tree/10m road frontage or part thereof, for that part of the frontage not built up to the road boundary.</w:t>
            </w:r>
          </w:p>
          <w:p w14:paraId="014FFB5B" w14:textId="77777777" w:rsidR="002E0B99" w:rsidRPr="00114E10" w:rsidRDefault="002E0B99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Note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: Any building or addition requiring resource consent under 15.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.1 Urban design is exempt from this rule.</w:t>
            </w:r>
          </w:p>
        </w:tc>
        <w:tc>
          <w:tcPr>
            <w:tcW w:w="2835" w:type="dxa"/>
          </w:tcPr>
          <w:p w14:paraId="746A90EC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6" w:name="Check11"/>
      <w:tr w:rsidR="003F6606" w:rsidRPr="00114E10" w14:paraId="1BFD4EFE" w14:textId="77777777" w:rsidTr="00114E10">
        <w:tc>
          <w:tcPr>
            <w:tcW w:w="534" w:type="dxa"/>
          </w:tcPr>
          <w:p w14:paraId="2A13755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bookmarkStart w:id="7" w:name="Check13"/>
        <w:tc>
          <w:tcPr>
            <w:tcW w:w="567" w:type="dxa"/>
          </w:tcPr>
          <w:p w14:paraId="478A2A2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Check15"/>
        <w:tc>
          <w:tcPr>
            <w:tcW w:w="567" w:type="dxa"/>
          </w:tcPr>
          <w:p w14:paraId="1A8105C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40" w:type="dxa"/>
          </w:tcPr>
          <w:p w14:paraId="62C829D7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.4 Setback from </w:t>
            </w:r>
            <w:r w:rsidR="005B131F" w:rsidRPr="00114E10">
              <w:rPr>
                <w:rFonts w:asciiTheme="minorHAnsi" w:hAnsiTheme="minorHAnsi" w:cstheme="minorHAnsi"/>
                <w:sz w:val="18"/>
                <w:szCs w:val="18"/>
              </w:rPr>
              <w:t>internal boundary with res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zones</w:t>
            </w:r>
          </w:p>
          <w:p w14:paraId="33FA08EE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setback for all buildings on sites which share an internal boundary with a residential zone. </w:t>
            </w:r>
          </w:p>
        </w:tc>
        <w:tc>
          <w:tcPr>
            <w:tcW w:w="2835" w:type="dxa"/>
          </w:tcPr>
          <w:p w14:paraId="1A35548D" w14:textId="77777777" w:rsidR="005B131F" w:rsidRPr="002261CC" w:rsidRDefault="005B131F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2261CC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Boundary rule if not adjoining public land </w:t>
            </w:r>
          </w:p>
          <w:p w14:paraId="0AF960A5" w14:textId="77777777" w:rsidR="003F6606" w:rsidRPr="002261CC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207C9679" w14:textId="77777777" w:rsidTr="00114E10">
        <w:tc>
          <w:tcPr>
            <w:tcW w:w="534" w:type="dxa"/>
          </w:tcPr>
          <w:p w14:paraId="5FCC30D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77A049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0EEAF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A583ACD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.5 Recession planes</w:t>
            </w:r>
          </w:p>
          <w:p w14:paraId="30B1C26B" w14:textId="1905CB1A" w:rsidR="002261CC" w:rsidRDefault="00BA46B9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04C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As per Appendix </w:t>
            </w:r>
            <w:r w:rsidR="001550D5" w:rsidRPr="00204C6B">
              <w:rPr>
                <w:rFonts w:asciiTheme="minorHAnsi" w:hAnsiTheme="minorHAnsi" w:cstheme="minorHAnsi"/>
                <w:b w:val="0"/>
                <w:sz w:val="18"/>
                <w:szCs w:val="18"/>
              </w:rPr>
              <w:t>14.16.2 Diagram D</w:t>
            </w:r>
            <w:r w:rsidRPr="00204C6B">
              <w:rPr>
                <w:rFonts w:asciiTheme="minorHAnsi" w:hAnsiTheme="minorHAnsi" w:cstheme="minorHAnsi"/>
                <w:b w:val="0"/>
                <w:sz w:val="18"/>
                <w:szCs w:val="18"/>
              </w:rPr>
              <w:t>, for internal boundaries adjoining a residential zone</w:t>
            </w:r>
            <w:r w:rsidR="00E15CE8" w:rsidRPr="00204C6B">
              <w:rPr>
                <w:rFonts w:asciiTheme="minorHAnsi" w:hAnsiTheme="minorHAnsi" w:cstheme="minorHAnsi"/>
                <w:b w:val="0"/>
                <w:sz w:val="18"/>
                <w:szCs w:val="18"/>
              </w:rPr>
              <w:t>, from points 4m above ground level</w:t>
            </w:r>
            <w:r w:rsidRPr="00204C6B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05D4B21A" w14:textId="4A9A3C89" w:rsidR="00E15CE8" w:rsidRPr="00114E10" w:rsidRDefault="00B86258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Parts of buildings 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over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12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>m high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>are exempt if set back from boundary by</w:t>
            </w:r>
            <w:r w:rsidR="00ED1C0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: North 6m, south 8m, east &amp; west 7m. 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BC14AF0" w14:textId="77777777" w:rsidR="001F0E5D" w:rsidRPr="002261CC" w:rsidRDefault="001F0E5D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2261CC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5164BB91" w14:textId="77777777" w:rsidR="003F6606" w:rsidRPr="002261CC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261C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0886E8FC" w14:textId="77777777" w:rsidTr="00114E10">
        <w:tc>
          <w:tcPr>
            <w:tcW w:w="534" w:type="dxa"/>
          </w:tcPr>
          <w:p w14:paraId="66A56FE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C2E9D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792307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E5AA1E5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.6 Outdoor storage areas</w:t>
            </w:r>
          </w:p>
          <w:p w14:paraId="5601A568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ODS area must be screened by 1.8m high fencing or landscaping from any adjoining site, and must not be located within the residential zone setback in 15.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.4.</w:t>
            </w:r>
          </w:p>
        </w:tc>
        <w:tc>
          <w:tcPr>
            <w:tcW w:w="2835" w:type="dxa"/>
          </w:tcPr>
          <w:p w14:paraId="1833711B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45F83646" w14:textId="77777777" w:rsidTr="00114E10">
        <w:tc>
          <w:tcPr>
            <w:tcW w:w="534" w:type="dxa"/>
          </w:tcPr>
          <w:p w14:paraId="3AA4CCA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4C435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BF3EB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2D4AB9F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7 Landscaping and trees</w:t>
            </w:r>
          </w:p>
          <w:p w14:paraId="73C8C9C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On sites adjoining residential zone, 1 tree/10m boundary or part thereof, adjacent to shared internal boundary and evenly spaced extending to the road boundary within the setback.</w:t>
            </w:r>
          </w:p>
          <w:p w14:paraId="78F0C687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sites - 1 tree/5 parking spaces provided between buildings and the street, planted within or adjacent to the parking area at the front of the site.</w:t>
            </w:r>
          </w:p>
          <w:p w14:paraId="47FD2BF1" w14:textId="77777777" w:rsidR="003F6606" w:rsidRPr="00114E10" w:rsidRDefault="00BA46B9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Landscaping in accordance with Appendix 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6.11.6</w:t>
            </w:r>
          </w:p>
        </w:tc>
        <w:tc>
          <w:tcPr>
            <w:tcW w:w="2835" w:type="dxa"/>
          </w:tcPr>
          <w:p w14:paraId="568BA2FA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0473875B" w14:textId="77777777" w:rsidTr="00114E10">
        <w:tc>
          <w:tcPr>
            <w:tcW w:w="534" w:type="dxa"/>
          </w:tcPr>
          <w:p w14:paraId="5E46F30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2E5ED9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9D9A85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E1B87DE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8 Water supply for fire fighting</w:t>
            </w:r>
          </w:p>
          <w:p w14:paraId="6896C609" w14:textId="77777777" w:rsidR="003F6606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  <w:p w14:paraId="213811F6" w14:textId="76400FD9" w:rsidR="00DB0144" w:rsidRPr="00114E10" w:rsidRDefault="00DB0144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compliant reticulated supply 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available, 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alternative supply and access must be provided as per </w:t>
            </w:r>
            <w:r w:rsidR="00A0132F">
              <w:rPr>
                <w:rFonts w:asciiTheme="minorHAnsi" w:hAnsiTheme="minorHAnsi" w:cstheme="minorHAnsi"/>
                <w:b w:val="0"/>
                <w:sz w:val="18"/>
                <w:szCs w:val="18"/>
              </w:rPr>
              <w:t>SNZ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7F15DAB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79C7C195" w14:textId="77777777" w:rsidTr="00114E10">
        <w:tc>
          <w:tcPr>
            <w:tcW w:w="534" w:type="dxa"/>
          </w:tcPr>
          <w:p w14:paraId="5F1C537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CBA2EC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A082F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1CE4528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.9 Setback from railway corridor</w:t>
            </w:r>
          </w:p>
          <w:p w14:paraId="213FE52D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Buildings, balconies and desks on sites adjacent to or abutting railway line - 4m setback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from rail corridor boundary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2B47BA6D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0132F" w:rsidRPr="00114E10" w14:paraId="73719D7D" w14:textId="77777777" w:rsidTr="002B714D">
        <w:tc>
          <w:tcPr>
            <w:tcW w:w="534" w:type="dxa"/>
          </w:tcPr>
          <w:p w14:paraId="472A704B" w14:textId="77777777" w:rsidR="00A0132F" w:rsidRPr="00114E10" w:rsidRDefault="00A0132F" w:rsidP="002B714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222D09A" w14:textId="77777777" w:rsidR="00A0132F" w:rsidRPr="00114E10" w:rsidRDefault="00A0132F" w:rsidP="002B714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A9783D" w14:textId="77777777" w:rsidR="00A0132F" w:rsidRPr="00114E10" w:rsidRDefault="00A0132F" w:rsidP="002B714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C76A344" w14:textId="5275486A" w:rsidR="00A0132F" w:rsidRPr="00114E10" w:rsidRDefault="00A0132F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15.4.2.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 Minimum tower setback &amp; road wall height</w:t>
            </w:r>
          </w:p>
          <w:p w14:paraId="0E6218C9" w14:textId="4DCF4132" w:rsidR="00A0132F" w:rsidRPr="00114E10" w:rsidRDefault="00790D66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45° </w:t>
            </w:r>
            <w:r w:rsidR="00472037">
              <w:rPr>
                <w:rFonts w:asciiTheme="minorHAnsi" w:hAnsiTheme="minorHAnsi" w:cstheme="minorHAnsi"/>
                <w:b w:val="0"/>
                <w:sz w:val="18"/>
                <w:szCs w:val="18"/>
              </w:rPr>
              <w:t>angle setback from each edge of the building base for any 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uilding above 20m road wall height</w:t>
            </w:r>
            <w:r w:rsidR="00A0132F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645D8985" w14:textId="77777777" w:rsidR="00A0132F" w:rsidRPr="00114E10" w:rsidRDefault="00A0132F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0132F" w:rsidRPr="00114E10" w14:paraId="44295AEC" w14:textId="77777777" w:rsidTr="002B714D">
        <w:tc>
          <w:tcPr>
            <w:tcW w:w="534" w:type="dxa"/>
          </w:tcPr>
          <w:p w14:paraId="68B3AD02" w14:textId="77777777" w:rsidR="00A0132F" w:rsidRPr="00114E10" w:rsidRDefault="00A0132F" w:rsidP="002B714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0011572" w14:textId="77777777" w:rsidR="00A0132F" w:rsidRPr="00114E10" w:rsidRDefault="00A0132F" w:rsidP="002B714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4A08995" w14:textId="77777777" w:rsidR="00A0132F" w:rsidRPr="00114E10" w:rsidRDefault="00A0132F" w:rsidP="002B714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2DCB0ACC" w14:textId="49B6526F" w:rsidR="00A0132F" w:rsidRPr="00114E10" w:rsidRDefault="00A0132F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15.4.2.</w:t>
            </w:r>
            <w:r w:rsidR="00472037">
              <w:rPr>
                <w:rFonts w:asciiTheme="minorHAnsi" w:hAnsiTheme="minorHAnsi" w:cstheme="minorHAnsi"/>
                <w:sz w:val="18"/>
                <w:szCs w:val="18"/>
              </w:rPr>
              <w:t>11 Minimum tower dimension and separation</w:t>
            </w:r>
          </w:p>
          <w:p w14:paraId="02E411D1" w14:textId="77777777" w:rsidR="00A0132F" w:rsidRDefault="00FD651F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Any tower above the 20m road wall height must not exceed a 40m diagonal dimension.</w:t>
            </w:r>
          </w:p>
          <w:p w14:paraId="6169FCA3" w14:textId="0AFE30B1" w:rsidR="00FD651F" w:rsidRPr="00114E10" w:rsidRDefault="00FD651F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18m separation between multiple towers on contiguous site.</w:t>
            </w:r>
          </w:p>
        </w:tc>
        <w:tc>
          <w:tcPr>
            <w:tcW w:w="2835" w:type="dxa"/>
          </w:tcPr>
          <w:p w14:paraId="3A0DF2D3" w14:textId="77777777" w:rsidR="00A0132F" w:rsidRPr="00114E10" w:rsidRDefault="00A0132F" w:rsidP="002B714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F5A7719" w14:textId="77777777" w:rsidR="003F6606" w:rsidRPr="00114E10" w:rsidRDefault="003F66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7C1C2344" w14:textId="77777777" w:rsidTr="00114E10">
        <w:tc>
          <w:tcPr>
            <w:tcW w:w="10343" w:type="dxa"/>
            <w:gridSpan w:val="5"/>
            <w:shd w:val="clear" w:color="auto" w:fill="FFD966"/>
            <w:vAlign w:val="center"/>
          </w:tcPr>
          <w:p w14:paraId="4C97F198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AREA SPECIFIC RULES</w:t>
            </w:r>
          </w:p>
        </w:tc>
      </w:tr>
      <w:tr w:rsidR="003F6606" w:rsidRPr="00114E10" w14:paraId="1D51A098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5E81D9B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368B398C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62B7C7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39AA322A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5F8A9AC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63605034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00F1D68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58BFA147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A9B0F63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438" w:rsidRPr="00B93438" w14:paraId="0430C235" w14:textId="77777777" w:rsidTr="00214AA7">
        <w:tc>
          <w:tcPr>
            <w:tcW w:w="10343" w:type="dxa"/>
            <w:gridSpan w:val="5"/>
            <w:shd w:val="clear" w:color="auto" w:fill="FFF2CC" w:themeFill="accent4" w:themeFillTint="33"/>
            <w:vAlign w:val="center"/>
          </w:tcPr>
          <w:p w14:paraId="51534FFF" w14:textId="52747FFB" w:rsidR="003F6606" w:rsidRPr="00B93438" w:rsidRDefault="00BA46B9" w:rsidP="0029649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722D46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4.3 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Belfast/Northwood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-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Refer to the </w:t>
            </w:r>
            <w:r w:rsidR="000A331F"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Town Centre </w:t>
            </w:r>
            <w:r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Zone (Belfast/Northwood) ODP in Appendix 15.1</w:t>
            </w:r>
            <w:r w:rsidR="0029649B"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5.</w:t>
            </w:r>
            <w:r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1.</w:t>
            </w:r>
            <w:r w:rsidR="0029649B"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 Note </w:t>
            </w:r>
            <w:r w:rsidR="000A37C9"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that the general zone </w:t>
            </w:r>
            <w:r w:rsidR="0029649B" w:rsidRPr="00B9343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rules in 15.4.1 and 15.4.2 also apply unless otherwise specified.</w:t>
            </w:r>
          </w:p>
        </w:tc>
      </w:tr>
      <w:tr w:rsidR="00B93438" w:rsidRPr="00B93438" w14:paraId="0A375CC6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D971330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7C81186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155098A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65BAE07" w14:textId="77777777" w:rsidR="003F6606" w:rsidRPr="00B93438" w:rsidRDefault="00E17815" w:rsidP="003F6606">
            <w:pPr>
              <w:spacing w:before="40" w:after="40"/>
              <w:ind w:left="33" w:hanging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15.4.3.1 </w:t>
            </w:r>
            <w:r w:rsidR="00BA46B9" w:rsidRPr="00B9343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Activity status tables </w:t>
            </w:r>
            <w:r w:rsidR="00BA46B9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refer tables for details.</w:t>
            </w:r>
          </w:p>
          <w:p w14:paraId="1630138B" w14:textId="77777777" w:rsidR="003F6606" w:rsidRPr="00B93438" w:rsidRDefault="00BA46B9" w:rsidP="003F6606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Activities and buildings complying with built form standards in 15.</w:t>
            </w:r>
            <w:r w:rsidR="00722D46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4.2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(excluding 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4.2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.1) and 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4.3.2 are restricted discretionary.</w:t>
            </w:r>
          </w:p>
          <w:p w14:paraId="4D6A7C89" w14:textId="77777777" w:rsidR="0029649B" w:rsidRPr="00B93438" w:rsidRDefault="0029649B" w:rsidP="003F6606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Activities not complying with one or more of the built form standards in 15.4.3.2 unless otherwise specified in 15.4.3.1.4 D1 or 15.4.3.1.5 NC1.</w:t>
            </w:r>
          </w:p>
          <w:p w14:paraId="093860B9" w14:textId="77777777" w:rsidR="003F6606" w:rsidRPr="00B93438" w:rsidRDefault="00BA46B9" w:rsidP="003F6606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Activities and buildings not complying with 15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.4.3.2.6 Max threshold for offices 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are discretionary.</w:t>
            </w:r>
          </w:p>
          <w:p w14:paraId="52E36196" w14:textId="77777777" w:rsidR="003F6606" w:rsidRPr="00B93438" w:rsidRDefault="00BA46B9" w:rsidP="0029649B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Activities and buildings not complying with 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4.3.2.2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Building setback and size are non-complying.</w:t>
            </w:r>
          </w:p>
        </w:tc>
        <w:tc>
          <w:tcPr>
            <w:tcW w:w="2835" w:type="dxa"/>
          </w:tcPr>
          <w:p w14:paraId="7823A329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778B9C11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08EEDB98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E6B0A85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B7F61E9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0DC206D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4.3.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2.1 Maximum building height</w:t>
            </w:r>
          </w:p>
          <w:p w14:paraId="77D4EE4E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Special Area A - 12m</w:t>
            </w:r>
          </w:p>
          <w:p w14:paraId="3EC71814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Special Area B - 5m</w:t>
            </w:r>
          </w:p>
        </w:tc>
        <w:tc>
          <w:tcPr>
            <w:tcW w:w="2835" w:type="dxa"/>
          </w:tcPr>
          <w:p w14:paraId="76F386E9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76D09F97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1EF2918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F084D5F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8CEC35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54E9E05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.4.3.2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 Building setback and size</w:t>
            </w:r>
          </w:p>
          <w:p w14:paraId="44110DD1" w14:textId="4EEDE201" w:rsidR="003F6606" w:rsidRPr="00B93438" w:rsidRDefault="00166113" w:rsidP="0029649B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M</w:t>
            </w:r>
            <w:r w:rsidR="00BA46B9"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inimum distance of 20m from outer edge of esplanade reserve along Styx River.</w:t>
            </w:r>
          </w:p>
          <w:p w14:paraId="5D4BE942" w14:textId="2E49BACB" w:rsidR="003F6606" w:rsidRPr="00B93438" w:rsidRDefault="00166113" w:rsidP="0029649B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Minimum</w:t>
            </w:r>
            <w:r w:rsidR="00BA46B9"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distance of 150m from southern boundary of zone.</w:t>
            </w:r>
          </w:p>
          <w:p w14:paraId="44407D1E" w14:textId="77777777" w:rsidR="003F6606" w:rsidRPr="00B93438" w:rsidRDefault="00BA46B9" w:rsidP="0029649B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Buildings between 150 - 200m from southern boundary of zone </w:t>
            </w:r>
            <w:r w:rsidR="0029649B"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shall not exceed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500m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GFA. </w:t>
            </w:r>
          </w:p>
        </w:tc>
        <w:tc>
          <w:tcPr>
            <w:tcW w:w="2835" w:type="dxa"/>
          </w:tcPr>
          <w:p w14:paraId="790CB033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13B94A81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3C8768DB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1CE5CEC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4CF8886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8B55EC3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4.3.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2.3 Landscaping</w:t>
            </w:r>
          </w:p>
          <w:p w14:paraId="21012FC4" w14:textId="77777777" w:rsidR="003F6606" w:rsidRPr="00B93438" w:rsidRDefault="0029649B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</w:t>
            </w:r>
            <w:r w:rsidR="00BA46B9"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or sites adjoining the Styx River, the 20m setback must be planted with natives prior to retail activities being open to the public. </w:t>
            </w:r>
          </w:p>
        </w:tc>
        <w:tc>
          <w:tcPr>
            <w:tcW w:w="2835" w:type="dxa"/>
          </w:tcPr>
          <w:p w14:paraId="45922C46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5F625479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66BFEDF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1D79D8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DD81C39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6BF9EDB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.2.4 Roading, access and parking</w:t>
            </w:r>
          </w:p>
          <w:p w14:paraId="403E23D5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Vehicle access points only in locations on ODP with road running between southernmost access and access to Radcliffe Rd.</w:t>
            </w:r>
          </w:p>
          <w:p w14:paraId="2AF167EA" w14:textId="77777777" w:rsidR="0029649B" w:rsidRPr="00B93438" w:rsidRDefault="0029649B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Future left in/left out vehicle access point shall only be provided following completion/opening of Northern Arterial</w:t>
            </w:r>
          </w:p>
        </w:tc>
        <w:tc>
          <w:tcPr>
            <w:tcW w:w="2835" w:type="dxa"/>
          </w:tcPr>
          <w:p w14:paraId="0A2C4511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7954FCD3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A4F81BE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731436B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7F44133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70763FDB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4.3.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2.5 Max total number of vehicles exiting the site</w:t>
            </w:r>
          </w:p>
          <w:p w14:paraId="037C97FE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Until Northern Arterial constructed and open:</w:t>
            </w:r>
          </w:p>
          <w:p w14:paraId="5DDFA03F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Thurs evening peak hour - 625</w:t>
            </w:r>
          </w:p>
          <w:p w14:paraId="67137AD5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Sat peak hour - 700</w:t>
            </w:r>
          </w:p>
          <w:p w14:paraId="715C376F" w14:textId="33C64421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Excludes traffic going to </w:t>
            </w:r>
            <w:r w:rsidR="00166113"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Large Format Retail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zone to north. </w:t>
            </w:r>
          </w:p>
        </w:tc>
        <w:tc>
          <w:tcPr>
            <w:tcW w:w="2835" w:type="dxa"/>
          </w:tcPr>
          <w:p w14:paraId="79C79967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5483BE28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C7426F5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F076C08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AC83F60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F344939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.2.6 Max thresholds for office activity</w:t>
            </w:r>
          </w:p>
          <w:p w14:paraId="43E9F995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Total amount of office floorspace within the 'Styx centre boundary', as defined on the ODP:</w:t>
            </w:r>
          </w:p>
          <w:p w14:paraId="021895EF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Until 1/2/2020 - 8,000m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GLFA</w:t>
            </w:r>
          </w:p>
          <w:p w14:paraId="043CAC46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1/2/2020 onwards - 12,000m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GLFA</w:t>
            </w:r>
          </w:p>
        </w:tc>
        <w:tc>
          <w:tcPr>
            <w:tcW w:w="2835" w:type="dxa"/>
          </w:tcPr>
          <w:p w14:paraId="26A9A09F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7FC92EE2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D22DD48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D900619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46B8FC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9337575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4.3.2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.7 Max thresholds for retailing activities</w:t>
            </w:r>
          </w:p>
          <w:p w14:paraId="762E0881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Total amount of retailing floorspace within the 'Styx Centre boundary', as defined on the ODP - 20,000m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GLFA.</w:t>
            </w:r>
          </w:p>
        </w:tc>
        <w:tc>
          <w:tcPr>
            <w:tcW w:w="2835" w:type="dxa"/>
          </w:tcPr>
          <w:p w14:paraId="5F09387E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93438" w:rsidRPr="00B93438" w14:paraId="2112A22F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641890A1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D716C7F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35C0F38" w14:textId="77777777" w:rsidR="003F6606" w:rsidRPr="00B934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DC08AF9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</w:t>
            </w:r>
            <w:r w:rsidR="0029649B"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</w:t>
            </w:r>
            <w:r w:rsidRPr="00B934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.2.8 Max thresholds for non-residential activities</w:t>
            </w:r>
          </w:p>
          <w:p w14:paraId="7EA02BB3" w14:textId="77777777" w:rsidR="003F6606" w:rsidRPr="00B93438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Total amount of floorspace for non-residential activities within the 'Styx Centre boundary', as defined on the ODP - 45,000m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GLFA.</w:t>
            </w:r>
          </w:p>
        </w:tc>
        <w:tc>
          <w:tcPr>
            <w:tcW w:w="2835" w:type="dxa"/>
          </w:tcPr>
          <w:p w14:paraId="61B96989" w14:textId="77777777" w:rsidR="003F6606" w:rsidRPr="00B934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B9343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76A28" w:rsidRPr="00976A28" w14:paraId="7D34C09D" w14:textId="77777777" w:rsidTr="00214AA7">
        <w:tc>
          <w:tcPr>
            <w:tcW w:w="10343" w:type="dxa"/>
            <w:gridSpan w:val="5"/>
            <w:shd w:val="clear" w:color="auto" w:fill="FFF2CC" w:themeFill="accent4" w:themeFillTint="33"/>
            <w:vAlign w:val="center"/>
          </w:tcPr>
          <w:p w14:paraId="2FA8E3B7" w14:textId="1526160B" w:rsidR="008B4F84" w:rsidRPr="00976A28" w:rsidRDefault="008B4F84" w:rsidP="002662F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15.4.</w:t>
            </w:r>
            <w:r w:rsidR="00B434D6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North Halswell </w:t>
            </w:r>
            <w:r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Refer to the </w:t>
            </w:r>
            <w:r w:rsidR="00B434D6"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Town Centre</w:t>
            </w:r>
            <w:r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 Zone (North Halswell) ODP in Appendix 15.15.</w:t>
            </w:r>
            <w:r w:rsidR="002662F5"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3</w:t>
            </w:r>
            <w:r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>. Note</w:t>
            </w:r>
            <w:r w:rsidR="00B434D6"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 that the general zone</w:t>
            </w:r>
            <w:r w:rsidRPr="00976A28"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 rules in 15.4.1 and 15.4.2 also apply unless otherwise specified.</w:t>
            </w:r>
          </w:p>
        </w:tc>
      </w:tr>
      <w:tr w:rsidR="00976A28" w:rsidRPr="00976A28" w14:paraId="17131213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6BCE3EC5" w14:textId="77777777" w:rsidR="008B4F84" w:rsidRPr="00976A28" w:rsidRDefault="008B4F84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24AEF98" w14:textId="77777777" w:rsidR="008B4F84" w:rsidRPr="00976A28" w:rsidRDefault="008B4F84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FD686F0" w14:textId="77777777" w:rsidR="008B4F84" w:rsidRPr="00976A28" w:rsidRDefault="008B4F84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4039489" w14:textId="352BFD8F" w:rsidR="008B4F84" w:rsidRPr="00976A28" w:rsidRDefault="008B4F84" w:rsidP="00E16669">
            <w:pPr>
              <w:spacing w:before="40" w:after="40"/>
              <w:ind w:left="33" w:hanging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15.4.</w:t>
            </w:r>
            <w:r w:rsidR="00B434D6"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.1 Activity status tables 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refer tables for details.</w:t>
            </w:r>
          </w:p>
          <w:p w14:paraId="2B8AEABC" w14:textId="40120B85" w:rsidR="008B4F84" w:rsidRPr="00976A28" w:rsidRDefault="008B4F84" w:rsidP="00E16669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Activity/building complying with built form standards in 15.4.2 </w:t>
            </w:r>
            <w:r w:rsidR="00577545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(excl 15.4.2.1) 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 15.4.5.2 is restricted discretionary.</w:t>
            </w:r>
          </w:p>
          <w:p w14:paraId="0B5BECB7" w14:textId="106DB295" w:rsidR="008B4F84" w:rsidRPr="00976A28" w:rsidRDefault="008B4F84" w:rsidP="00E16669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Activity not complying with 15.4.</w:t>
            </w:r>
            <w:r w:rsidR="00C54900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.2.3 and/or 15.4.</w:t>
            </w:r>
            <w:r w:rsidR="00C54900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.2.</w:t>
            </w:r>
            <w:r w:rsidR="005E072F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is discretionary</w:t>
            </w:r>
            <w:r w:rsidR="005E072F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retail &amp; office thresholds.</w:t>
            </w:r>
          </w:p>
          <w:p w14:paraId="6094E7B8" w14:textId="3D2D1F65" w:rsidR="008B4F84" w:rsidRPr="00976A28" w:rsidRDefault="008B4F84" w:rsidP="00E16669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Retail activity not </w:t>
            </w:r>
            <w:r w:rsidR="002662F5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complying with 15.4.5.2.2 is non-complying</w:t>
            </w:r>
            <w:r w:rsidR="005E072F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intersection upgrade.</w:t>
            </w:r>
          </w:p>
        </w:tc>
        <w:tc>
          <w:tcPr>
            <w:tcW w:w="2835" w:type="dxa"/>
          </w:tcPr>
          <w:p w14:paraId="4B8A635F" w14:textId="77777777" w:rsidR="008B4F84" w:rsidRPr="00976A28" w:rsidRDefault="008B4F84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76A28" w:rsidRPr="00976A28" w14:paraId="27EF7577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0D70A74B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5CE9B93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2331A23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0D7E925A" w14:textId="749FDEC9" w:rsidR="002662F5" w:rsidRPr="00976A28" w:rsidRDefault="002662F5" w:rsidP="002662F5">
            <w:pPr>
              <w:spacing w:before="40" w:after="40"/>
              <w:ind w:left="33" w:hanging="3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15.4.</w:t>
            </w:r>
            <w:r w:rsidR="005E072F"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.2.2 Intersection upgrades</w:t>
            </w:r>
          </w:p>
          <w:p w14:paraId="4BC12DCF" w14:textId="27A5D1FD" w:rsidR="002662F5" w:rsidRPr="00976A28" w:rsidRDefault="002662F5" w:rsidP="002662F5">
            <w:pPr>
              <w:spacing w:before="40" w:after="40"/>
              <w:ind w:left="33" w:hanging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 retail activity within the </w:t>
            </w:r>
            <w:r w:rsidR="005E072F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TC 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(NH) </w:t>
            </w:r>
            <w:r w:rsidR="005E072F"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zone to be 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open to the public until the construction of the upgrade of the intersection of Augustine Dr and Halswell Rd to traffic lights has been completed.</w:t>
            </w:r>
          </w:p>
        </w:tc>
        <w:tc>
          <w:tcPr>
            <w:tcW w:w="2835" w:type="dxa"/>
          </w:tcPr>
          <w:p w14:paraId="4D0730FF" w14:textId="77777777" w:rsidR="002662F5" w:rsidRPr="00976A28" w:rsidRDefault="002662F5" w:rsidP="002662F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76A28" w:rsidRPr="00976A28" w14:paraId="27CDCBD0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287A0D01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51B0BC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1F6002C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05719D23" w14:textId="78EA8A82" w:rsidR="002662F5" w:rsidRPr="00976A28" w:rsidRDefault="002662F5" w:rsidP="002662F5">
            <w:pPr>
              <w:spacing w:before="40" w:after="40"/>
              <w:ind w:left="33" w:hanging="3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15.4.</w:t>
            </w:r>
            <w:r w:rsidR="00976A28"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.2.3 Maximum retail activity threshold</w:t>
            </w:r>
          </w:p>
          <w:p w14:paraId="72A5F2A5" w14:textId="77777777" w:rsidR="002662F5" w:rsidRPr="00976A28" w:rsidRDefault="002662F5" w:rsidP="002662F5">
            <w:pPr>
              <w:spacing w:before="40" w:after="40"/>
              <w:ind w:left="33" w:hanging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 zone retail activity floorspace 25,000m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GFA </w:t>
            </w:r>
          </w:p>
        </w:tc>
        <w:tc>
          <w:tcPr>
            <w:tcW w:w="2835" w:type="dxa"/>
          </w:tcPr>
          <w:p w14:paraId="635AA737" w14:textId="77777777" w:rsidR="002662F5" w:rsidRPr="00976A28" w:rsidRDefault="002662F5" w:rsidP="002662F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76A28" w:rsidRPr="00976A28" w14:paraId="574EC538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1D10B472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4E730A3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441B208" w14:textId="77777777" w:rsidR="002662F5" w:rsidRPr="00976A28" w:rsidRDefault="002662F5" w:rsidP="002662F5">
            <w:pPr>
              <w:pStyle w:val="Title"/>
              <w:spacing w:before="40" w:after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7757CE6B" w14:textId="77777777" w:rsidR="002662F5" w:rsidRPr="00976A28" w:rsidRDefault="002662F5" w:rsidP="002662F5">
            <w:pPr>
              <w:spacing w:before="40" w:after="40"/>
              <w:ind w:left="33" w:hanging="3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15.4.5.2.4 Maximum office floorspace</w:t>
            </w:r>
          </w:p>
          <w:p w14:paraId="7E96E630" w14:textId="77777777" w:rsidR="002662F5" w:rsidRPr="00976A28" w:rsidRDefault="002662F5" w:rsidP="002662F5">
            <w:pPr>
              <w:spacing w:before="40" w:after="40"/>
              <w:ind w:left="33" w:hanging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 zone office floorspace 5,000m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976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GFA</w:t>
            </w:r>
          </w:p>
        </w:tc>
        <w:tc>
          <w:tcPr>
            <w:tcW w:w="2835" w:type="dxa"/>
          </w:tcPr>
          <w:p w14:paraId="7E09C16F" w14:textId="77777777" w:rsidR="002662F5" w:rsidRPr="00976A28" w:rsidRDefault="002662F5" w:rsidP="002662F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976A28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9AA562C" w14:textId="77777777" w:rsidR="003F6606" w:rsidRPr="00FD651F" w:rsidRDefault="003F6606" w:rsidP="003F6606">
      <w:pPr>
        <w:rPr>
          <w:rFonts w:asciiTheme="minorHAnsi" w:hAnsiTheme="minorHAnsi" w:cstheme="minorHAnsi"/>
          <w:color w:val="FF000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1D7381" w:rsidRPr="001D7381" w14:paraId="73BFE008" w14:textId="77777777" w:rsidTr="00A20E53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06B89F31" w14:textId="77777777" w:rsidR="00B65F15" w:rsidRPr="001D7381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738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1D7381" w:rsidRPr="001D7381" w14:paraId="71781401" w14:textId="77777777" w:rsidTr="00A20E53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23028CD1" w14:textId="77777777" w:rsidR="00B65F15" w:rsidRPr="001D7381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33E0F5C8" w14:textId="77777777" w:rsidR="00B65F15" w:rsidRPr="001D7381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5841DAE9" w14:textId="77777777" w:rsidR="00B65F15" w:rsidRPr="001D7381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1D7381" w:rsidRPr="001D7381" w14:paraId="052A9737" w14:textId="77777777" w:rsidTr="00A20E53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26A451C4" w14:textId="77777777" w:rsidR="00B65F15" w:rsidRPr="001D7381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08E19928" w14:textId="77777777" w:rsidR="00B65F15" w:rsidRPr="001D7381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51BD5BE9" w14:textId="77777777" w:rsidR="00B65F15" w:rsidRPr="001D7381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687BE550" w14:textId="77777777" w:rsidR="00B65F15" w:rsidRPr="001D7381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74192EF0" w14:textId="77777777" w:rsidR="00B65F15" w:rsidRPr="001D7381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448B" w:rsidRPr="001D7381" w14:paraId="4D99A26B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6848D82A" w14:textId="77777777" w:rsidR="0094448B" w:rsidRPr="001D7381" w:rsidRDefault="0094448B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94448B" w:rsidRPr="00A20E53" w14:paraId="49542796" w14:textId="77777777" w:rsidTr="00F3358F">
        <w:tc>
          <w:tcPr>
            <w:tcW w:w="577" w:type="dxa"/>
          </w:tcPr>
          <w:p w14:paraId="19F8B093" w14:textId="77777777" w:rsidR="0094448B" w:rsidRPr="00A20E53" w:rsidRDefault="0094448B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49AB8BD" w14:textId="77777777" w:rsidR="0094448B" w:rsidRPr="00A20E53" w:rsidRDefault="0094448B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AE137B" w14:textId="77777777" w:rsidR="0094448B" w:rsidRPr="00A20E53" w:rsidRDefault="0094448B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72E5A62" w14:textId="77777777" w:rsidR="0094448B" w:rsidRPr="00A20E53" w:rsidRDefault="0094448B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384E2F74" w14:textId="77777777" w:rsidR="0094448B" w:rsidRPr="00A20E53" w:rsidRDefault="0094448B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2A7F446B" w14:textId="77777777" w:rsidR="0094448B" w:rsidRPr="00A20E53" w:rsidRDefault="0094448B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6F707716" w14:textId="77777777" w:rsidR="0094448B" w:rsidRPr="00A20E53" w:rsidRDefault="0094448B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No direct vehicle access from SH, major arterial, or across railway</w:t>
            </w:r>
          </w:p>
          <w:p w14:paraId="48958C5D" w14:textId="77777777" w:rsidR="0094448B" w:rsidRPr="00A20E53" w:rsidRDefault="0094448B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2C36B1EA" w14:textId="77777777" w:rsidR="0094448B" w:rsidRPr="00A20E53" w:rsidRDefault="0094448B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4448B" w:rsidRPr="001D7381" w14:paraId="0466D8FC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3C7F8D91" w14:textId="77777777" w:rsidR="0094448B" w:rsidRPr="001D7381" w:rsidRDefault="0094448B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3D45D3" w:rsidRPr="00A348AC" w14:paraId="0B898181" w14:textId="77777777" w:rsidTr="00A20E53">
        <w:tc>
          <w:tcPr>
            <w:tcW w:w="577" w:type="dxa"/>
          </w:tcPr>
          <w:p w14:paraId="2244019F" w14:textId="77777777" w:rsidR="003D45D3" w:rsidRPr="00A348AC" w:rsidRDefault="003D45D3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5FEEDD5" w14:textId="77777777" w:rsidR="003D45D3" w:rsidRPr="00A348AC" w:rsidRDefault="003D45D3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FF6B947" w14:textId="77777777" w:rsidR="003D45D3" w:rsidRPr="00A348AC" w:rsidRDefault="003D45D3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72EBBC5" w14:textId="616702D8" w:rsidR="003D45D3" w:rsidRPr="00A348AC" w:rsidRDefault="003D45D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>7.4.3.1 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/max </w:t>
            </w:r>
            <w:r w:rsidR="00F36DBF">
              <w:rPr>
                <w:rFonts w:asciiTheme="minorHAnsi" w:hAnsiTheme="minorHAnsi" w:cstheme="minorHAnsi"/>
                <w:sz w:val="18"/>
                <w:szCs w:val="18"/>
              </w:rPr>
              <w:t>number and</w: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 xml:space="preserve"> dimension of car parks</w:t>
            </w:r>
          </w:p>
          <w:p w14:paraId="52C4083F" w14:textId="43686A48" w:rsidR="003D45D3" w:rsidRDefault="00F36DBF" w:rsidP="00F36DBF">
            <w:pPr>
              <w:pStyle w:val="Title"/>
              <w:numPr>
                <w:ilvl w:val="0"/>
                <w:numId w:val="35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 </w:t>
            </w: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c</w:t>
            </w:r>
            <w:r w:rsidR="003D45D3"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>ar parks available to the general public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="003D45D3"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Appendix 7.5.14 Table 7.5.1.3</w:t>
            </w:r>
          </w:p>
          <w:p w14:paraId="7BE95046" w14:textId="4FD88B43" w:rsidR="00E737B6" w:rsidRPr="00A20E53" w:rsidRDefault="00F36DBF" w:rsidP="00A20E53">
            <w:pPr>
              <w:pStyle w:val="Title"/>
              <w:numPr>
                <w:ilvl w:val="0"/>
                <w:numId w:val="35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Mobility parks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 with GFA &gt; 2,500m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 w:rsidR="00CE11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E672BF" w14:textId="23B34B56" w:rsidR="00CE11A7" w:rsidRPr="005B00EF" w:rsidRDefault="00CE11A7" w:rsidP="005B00EF">
            <w:pPr>
              <w:pStyle w:val="Title"/>
              <w:numPr>
                <w:ilvl w:val="0"/>
                <w:numId w:val="35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arking and manoeuvring area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must be no more than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50% GLFA of buildings on site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(excl HRZ)</w:t>
            </w:r>
            <w:r w:rsidR="005B00EF"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815" w:type="dxa"/>
          </w:tcPr>
          <w:p w14:paraId="61CCDEBA" w14:textId="77777777" w:rsidR="003D45D3" w:rsidRPr="00A348AC" w:rsidRDefault="003D45D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158C8" w:rsidRPr="00E158C8" w14:paraId="49619452" w14:textId="77777777" w:rsidTr="00A20E53">
        <w:tc>
          <w:tcPr>
            <w:tcW w:w="577" w:type="dxa"/>
          </w:tcPr>
          <w:p w14:paraId="36D2B2FA" w14:textId="77777777" w:rsidR="00B65F15" w:rsidRPr="00E158C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C28E90D" w14:textId="77777777" w:rsidR="00B65F15" w:rsidRPr="00E158C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8817575" w14:textId="77777777" w:rsidR="00B65F15" w:rsidRPr="00E158C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983EC42" w14:textId="47E508DC" w:rsidR="00B65F15" w:rsidRPr="00E158C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t>7.4.3.2 Minimum number of cycle parking facilities</w:t>
            </w:r>
          </w:p>
          <w:p w14:paraId="550B8940" w14:textId="77777777" w:rsidR="00B65F15" w:rsidRPr="00E158C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369D3E08" w14:textId="77777777" w:rsidR="00B65F15" w:rsidRPr="00E158C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7258F" w:rsidRPr="0057258F" w14:paraId="1A063755" w14:textId="77777777" w:rsidTr="00A20E53">
        <w:tc>
          <w:tcPr>
            <w:tcW w:w="577" w:type="dxa"/>
          </w:tcPr>
          <w:p w14:paraId="3F83D858" w14:textId="77777777" w:rsidR="00B65F15" w:rsidRPr="0057258F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00F778B" w14:textId="77777777" w:rsidR="00B65F15" w:rsidRPr="0057258F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69E597" w14:textId="77777777" w:rsidR="00B65F15" w:rsidRPr="0057258F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599A061" w14:textId="3891CB72" w:rsidR="00B65F15" w:rsidRPr="0057258F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t>7.4.3.3 Minimum number of loading spaces</w:t>
            </w:r>
          </w:p>
          <w:p w14:paraId="21AA90DE" w14:textId="77777777" w:rsidR="00B65F15" w:rsidRPr="0057258F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27845038" w14:textId="77777777" w:rsidR="00B65F15" w:rsidRPr="0057258F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004C5" w:rsidRPr="001A1642" w14:paraId="7C89F8EE" w14:textId="77777777" w:rsidTr="00A20E53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E9FA467" w14:textId="77777777" w:rsidR="00E004C5" w:rsidRPr="001A1642" w:rsidRDefault="00E004C5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4D730C63" w14:textId="77777777" w:rsidR="00E004C5" w:rsidRPr="001A1642" w:rsidRDefault="00E004C5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AF0D4D" w14:textId="77777777" w:rsidR="00E004C5" w:rsidRPr="001A1642" w:rsidRDefault="00E004C5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439E2CEC" w14:textId="4C36A0FE" w:rsidR="00E004C5" w:rsidRPr="001A1642" w:rsidRDefault="00E004C5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262E2D6E" w14:textId="77777777" w:rsidR="00E004C5" w:rsidRPr="001A1642" w:rsidRDefault="00E004C5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5491AAAE" w14:textId="77777777" w:rsidR="00E004C5" w:rsidRPr="001A1642" w:rsidRDefault="00E004C5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734DA741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051664D9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4727929A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542FF982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4F83C8B7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0DB8022E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67384F30" w14:textId="77777777" w:rsidR="00E004C5" w:rsidRPr="001A1642" w:rsidRDefault="00E004C5" w:rsidP="00A108BC">
            <w:pPr>
              <w:numPr>
                <w:ilvl w:val="0"/>
                <w:numId w:val="37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7642D248" w14:textId="77777777" w:rsidR="00E004C5" w:rsidRPr="001A1642" w:rsidRDefault="00E004C5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21C58" w:rsidRPr="00421C58" w14:paraId="18754A1D" w14:textId="77777777" w:rsidTr="00A20E53">
        <w:tc>
          <w:tcPr>
            <w:tcW w:w="577" w:type="dxa"/>
          </w:tcPr>
          <w:p w14:paraId="6C467B5C" w14:textId="77777777" w:rsidR="00B65F15" w:rsidRPr="00421C5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6F77420" w14:textId="77777777" w:rsidR="00B65F15" w:rsidRPr="00421C5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E2EEBA2" w14:textId="77777777" w:rsidR="00B65F15" w:rsidRPr="00421C5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91270EE" w14:textId="66CAFC2C" w:rsidR="00B65F15" w:rsidRPr="00421C5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t xml:space="preserve">7.4.3.5 Gradient of parking and loading areas </w:t>
            </w:r>
          </w:p>
          <w:p w14:paraId="43833473" w14:textId="77777777" w:rsidR="00B65F15" w:rsidRPr="00421C5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1B7FFF63" w14:textId="77777777" w:rsidR="00B65F15" w:rsidRPr="00421C5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B1FE5" w:rsidRPr="002B1FE5" w14:paraId="7F3A674C" w14:textId="77777777" w:rsidTr="00A20E53">
        <w:tc>
          <w:tcPr>
            <w:tcW w:w="577" w:type="dxa"/>
          </w:tcPr>
          <w:p w14:paraId="66A90982" w14:textId="77777777" w:rsidR="00B65F15" w:rsidRPr="002B1FE5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DDEAB4C" w14:textId="77777777" w:rsidR="00B65F15" w:rsidRPr="002B1FE5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25E721A" w14:textId="77777777" w:rsidR="00B65F15" w:rsidRPr="002B1FE5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C4C3413" w14:textId="14392444" w:rsidR="00B65F15" w:rsidRPr="002B1FE5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t>7.4.3.6 Design of parking and loading areas</w:t>
            </w:r>
          </w:p>
          <w:p w14:paraId="72769491" w14:textId="73CD9ED2" w:rsidR="00B65F15" w:rsidRPr="002B1FE5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Lighting - non-residential activities with parking/loading areas used during darkness</w:t>
            </w:r>
            <w:r w:rsidR="00DF6287"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(excl VA)</w:t>
            </w:r>
          </w:p>
          <w:p w14:paraId="4A2E6C72" w14:textId="40CF6137" w:rsidR="00B65F15" w:rsidRPr="002B1FE5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Formed, sealed, drained and marked out - any urban activity except residential</w:t>
            </w:r>
            <w:r w:rsidR="002B1FE5"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/VA</w: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less than 3 car parks; sites with access off unsealed road; temporary activities. </w:t>
            </w:r>
          </w:p>
        </w:tc>
        <w:tc>
          <w:tcPr>
            <w:tcW w:w="2815" w:type="dxa"/>
          </w:tcPr>
          <w:p w14:paraId="72032F4C" w14:textId="77777777" w:rsidR="00B65F15" w:rsidRPr="002B1FE5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D651F" w:rsidRPr="00FD651F" w14:paraId="0F7A6011" w14:textId="77777777" w:rsidTr="00A20E53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7E99D600" w14:textId="77777777" w:rsidR="00B65F15" w:rsidRPr="00DC0817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EB3C6E4" w14:textId="77777777" w:rsidR="00B65F15" w:rsidRPr="00DC0817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E213A4" w14:textId="77777777" w:rsidR="00B65F15" w:rsidRPr="00DC0817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91822F7" w14:textId="766CC0E3" w:rsidR="00B65F15" w:rsidRPr="00DC0817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7.4.3.7 Access design</w:t>
            </w:r>
          </w:p>
          <w:p w14:paraId="0E0233E7" w14:textId="77777777" w:rsidR="00B65F15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 standards - all activities with vehicle access, Appendix 7.5.7.</w:t>
            </w:r>
          </w:p>
          <w:p w14:paraId="47BFA495" w14:textId="1E19B9A7" w:rsidR="00AB4282" w:rsidRPr="00DC0817" w:rsidRDefault="00AB4282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  <w:highlight w:val="yellow"/>
              </w:rPr>
              <w:t>NEW</w:t>
            </w:r>
          </w:p>
          <w:p w14:paraId="058DEB0E" w14:textId="77777777" w:rsidR="00B65F15" w:rsidRPr="00DC0817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Queue space - 4 or more car parks or residential units, Appendix 7.5.8.</w:t>
            </w:r>
          </w:p>
          <w:p w14:paraId="307F2C2A" w14:textId="648D5802" w:rsidR="00561FE2" w:rsidRPr="00A20E53" w:rsidRDefault="00B65F15" w:rsidP="00A20E5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19CE03F4" w14:textId="77777777" w:rsidR="00B65F15" w:rsidRPr="00FD651F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instrText xml:space="preserve"> FORMTEXT </w:instrTex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separate"/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end"/>
            </w:r>
          </w:p>
        </w:tc>
      </w:tr>
      <w:tr w:rsidR="004D62F4" w:rsidRPr="004D62F4" w14:paraId="18227DCB" w14:textId="77777777" w:rsidTr="00A20E53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64C41708" w14:textId="77777777" w:rsidR="00B65F15" w:rsidRPr="004D62F4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1B48A36" w14:textId="77777777" w:rsidR="00B65F15" w:rsidRPr="004D62F4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6272092" w14:textId="77777777" w:rsidR="00B65F15" w:rsidRPr="004D62F4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6194A8A" w14:textId="6AA314FC" w:rsidR="00B65F15" w:rsidRPr="004D62F4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7.4.3.8(a) Provision of vehicle crossings</w:t>
            </w:r>
          </w:p>
          <w:p w14:paraId="434D979A" w14:textId="77777777" w:rsidR="00B65F15" w:rsidRPr="004D62F4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12BDD85F" w14:textId="77777777" w:rsidR="00B65F15" w:rsidRPr="004D62F4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D62F4" w:rsidRPr="004D62F4" w14:paraId="4AE8E4BD" w14:textId="77777777" w:rsidTr="00A20E53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7E40A0F2" w14:textId="77777777" w:rsidR="00B65F15" w:rsidRPr="004D62F4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06B59B4" w14:textId="77777777" w:rsidR="00B65F15" w:rsidRPr="004D62F4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5D168D" w14:textId="77777777" w:rsidR="00B65F15" w:rsidRPr="004D62F4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B36CFA0" w14:textId="0D690175" w:rsidR="00B65F15" w:rsidRPr="004D62F4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7.2.3.8 (b) &amp; (c) Design of vehicle crossings</w:t>
            </w:r>
          </w:p>
          <w:p w14:paraId="30C81401" w14:textId="42F68780" w:rsidR="00B65F15" w:rsidRPr="004D62F4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Arterial road or collector road with speed limit 70km/hr or more, </w:t>
            </w:r>
            <w:r w:rsidR="00EA609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buildings in rural zone, 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and rural selling places, Appendix 7.5.10</w:t>
            </w:r>
          </w:p>
        </w:tc>
        <w:tc>
          <w:tcPr>
            <w:tcW w:w="2815" w:type="dxa"/>
          </w:tcPr>
          <w:p w14:paraId="06B43884" w14:textId="77777777" w:rsidR="00B65F15" w:rsidRPr="004D62F4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02425D" w:rsidRPr="0002425D" w14:paraId="6BB9D0DE" w14:textId="77777777" w:rsidTr="00A20E53">
        <w:tc>
          <w:tcPr>
            <w:tcW w:w="577" w:type="dxa"/>
          </w:tcPr>
          <w:p w14:paraId="639BF6C2" w14:textId="77777777" w:rsidR="00B65F15" w:rsidRPr="0002425D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15650FB" w14:textId="77777777" w:rsidR="00B65F15" w:rsidRPr="0002425D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76DAB97" w14:textId="77777777" w:rsidR="00B65F15" w:rsidRPr="0002425D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55C83D0" w14:textId="1069AD4A" w:rsidR="00B65F15" w:rsidRPr="0002425D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t>7.2.3.8(d) Spacing of vehicle crossings</w:t>
            </w:r>
          </w:p>
          <w:p w14:paraId="2939B91A" w14:textId="77777777" w:rsidR="00B65F15" w:rsidRPr="0002425D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267EDB8F" w14:textId="77777777" w:rsidR="00B65F15" w:rsidRPr="0002425D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84F8A" w:rsidRPr="00784F8A" w14:paraId="670707F5" w14:textId="77777777" w:rsidTr="00A20E53">
        <w:tc>
          <w:tcPr>
            <w:tcW w:w="577" w:type="dxa"/>
          </w:tcPr>
          <w:p w14:paraId="528EBF45" w14:textId="77777777" w:rsidR="00B65F15" w:rsidRPr="00784F8A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94CA630" w14:textId="77777777" w:rsidR="00B65F15" w:rsidRPr="00784F8A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C905D66" w14:textId="77777777" w:rsidR="00B65F15" w:rsidRPr="00784F8A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95BE35A" w14:textId="4129A3CF" w:rsidR="00B65F15" w:rsidRPr="00784F8A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7.2.3.8(e) Maximum number of vehicle crossings</w:t>
            </w:r>
          </w:p>
          <w:p w14:paraId="052DD09C" w14:textId="335D77EA" w:rsidR="00B65F15" w:rsidRPr="00784F8A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49A8AD24" w14:textId="77777777" w:rsidR="00B65F15" w:rsidRPr="00784F8A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84F8A" w:rsidRPr="00784F8A" w14:paraId="225BC810" w14:textId="77777777" w:rsidTr="00A20E53">
        <w:tc>
          <w:tcPr>
            <w:tcW w:w="577" w:type="dxa"/>
          </w:tcPr>
          <w:p w14:paraId="13C91F98" w14:textId="77777777" w:rsidR="00B65F15" w:rsidRPr="00784F8A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5CDB8AD" w14:textId="77777777" w:rsidR="00B65F15" w:rsidRPr="00784F8A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0329000" w14:textId="77777777" w:rsidR="00B65F15" w:rsidRPr="00784F8A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ECB30F6" w14:textId="757E1151" w:rsidR="00B65F15" w:rsidRPr="00784F8A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7.2.3.8(f) Distance between vehicle crossings and intersections</w:t>
            </w:r>
          </w:p>
          <w:p w14:paraId="2422027E" w14:textId="0B84A1C7" w:rsidR="00B65F15" w:rsidRPr="00784F8A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47C66D4C" w14:textId="77777777" w:rsidR="00B65F15" w:rsidRPr="00784F8A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20E53" w:rsidRPr="00A20E53" w14:paraId="24D1254A" w14:textId="77777777" w:rsidTr="00A20E53">
        <w:tc>
          <w:tcPr>
            <w:tcW w:w="577" w:type="dxa"/>
          </w:tcPr>
          <w:p w14:paraId="49ADDA5D" w14:textId="77777777" w:rsidR="00B65F15" w:rsidRPr="00A20E53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D9F0BA9" w14:textId="77777777" w:rsidR="00B65F15" w:rsidRPr="00A20E53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98F1F1F" w14:textId="77777777" w:rsidR="00B65F15" w:rsidRPr="00A20E53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C8D081D" w14:textId="77777777" w:rsidR="00E30D73" w:rsidRPr="00A20E53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t>7.4.3.9 Location of buildings and access in relation to road/rail level crossings</w:t>
            </w:r>
          </w:p>
          <w:p w14:paraId="66906111" w14:textId="77777777" w:rsidR="005166A5" w:rsidRPr="00A20E53" w:rsidRDefault="005166A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new vehicle crossings within 30m of a rail level crossing limit line unless site boundaries </w:t>
            </w:r>
            <w:r w:rsidR="00F3676E"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don’t enable compliance. </w:t>
            </w:r>
          </w:p>
          <w:p w14:paraId="12A9C21B" w14:textId="7E8E66B2" w:rsidR="00F3676E" w:rsidRPr="00A20E53" w:rsidRDefault="00981C4E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Buildings close to level crossings without automated warning devices </w:t>
            </w:r>
            <w:r w:rsidR="00695B38"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–</w:t>
            </w: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695B38"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location as per App 7.5.13.</w:t>
            </w:r>
          </w:p>
        </w:tc>
        <w:tc>
          <w:tcPr>
            <w:tcW w:w="2815" w:type="dxa"/>
          </w:tcPr>
          <w:p w14:paraId="1588311F" w14:textId="77777777" w:rsidR="00B65F15" w:rsidRPr="00A20E53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541B0" w:rsidRPr="00F541B0" w14:paraId="7CF5755E" w14:textId="77777777" w:rsidTr="00A20E53">
        <w:trPr>
          <w:trHeight w:val="360"/>
        </w:trPr>
        <w:tc>
          <w:tcPr>
            <w:tcW w:w="577" w:type="dxa"/>
          </w:tcPr>
          <w:p w14:paraId="0690561D" w14:textId="77777777" w:rsidR="00B65F15" w:rsidRPr="00F541B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A443BEC" w14:textId="77777777" w:rsidR="00B65F15" w:rsidRPr="00F541B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6BBBF13" w14:textId="77777777" w:rsidR="00B65F15" w:rsidRPr="00F541B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B9E1CC8" w14:textId="4AF4A231" w:rsidR="00B65F15" w:rsidRPr="00F541B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7.4.3.10 High trip generators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1B0"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rule.</w:t>
            </w:r>
          </w:p>
        </w:tc>
        <w:tc>
          <w:tcPr>
            <w:tcW w:w="2815" w:type="dxa"/>
          </w:tcPr>
          <w:p w14:paraId="4ADF8B72" w14:textId="06705BA5" w:rsidR="00B65F15" w:rsidRPr="00F541B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490C1154" w14:textId="77777777" w:rsidR="00B65F15" w:rsidRPr="00114E10" w:rsidRDefault="00B65F15" w:rsidP="003F6606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B65F15" w:rsidRPr="00114E10" w14:paraId="2EA7BF15" w14:textId="77777777" w:rsidTr="00A20E53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6F01AF1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GENERAL RULES</w:t>
            </w:r>
          </w:p>
        </w:tc>
      </w:tr>
      <w:tr w:rsidR="00B65F15" w:rsidRPr="00114E10" w14:paraId="6A417705" w14:textId="77777777" w:rsidTr="00A20E53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745A507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47CE864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59032F7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B65F15" w:rsidRPr="00114E10" w14:paraId="6FA9FD2C" w14:textId="77777777" w:rsidTr="00A20E53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6C7FE5E3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01A324F6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6ACDAFA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6FD7B184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40C20E4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5F15" w:rsidRPr="00114E10" w14:paraId="49507CC4" w14:textId="77777777" w:rsidTr="00A20E53">
        <w:tc>
          <w:tcPr>
            <w:tcW w:w="10348" w:type="dxa"/>
            <w:gridSpan w:val="7"/>
            <w:shd w:val="clear" w:color="auto" w:fill="E6E6E6"/>
            <w:vAlign w:val="center"/>
          </w:tcPr>
          <w:p w14:paraId="6762833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Natural hazard rules - Chapter 5 DP</w:t>
            </w:r>
          </w:p>
        </w:tc>
      </w:tr>
      <w:tr w:rsidR="00B65F15" w:rsidRPr="00114E10" w14:paraId="63B35393" w14:textId="77777777" w:rsidTr="00A20E53">
        <w:tc>
          <w:tcPr>
            <w:tcW w:w="643" w:type="dxa"/>
          </w:tcPr>
          <w:p w14:paraId="2FCF565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40308AC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1496E4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9178BA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37556FE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091F5F70" w14:textId="77777777" w:rsidTr="00A20E53">
        <w:tc>
          <w:tcPr>
            <w:tcW w:w="643" w:type="dxa"/>
          </w:tcPr>
          <w:p w14:paraId="719A19F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3FE4458C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334CD3B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562F4BD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6053C7A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44EE130E" w14:textId="77777777" w:rsidTr="00A20E53">
        <w:tc>
          <w:tcPr>
            <w:tcW w:w="643" w:type="dxa"/>
          </w:tcPr>
          <w:p w14:paraId="139CF24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707562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3F81C1A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FEF248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4459D28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74D4CF8" w14:textId="77777777" w:rsidTr="00A20E53">
        <w:tc>
          <w:tcPr>
            <w:tcW w:w="10348" w:type="dxa"/>
            <w:gridSpan w:val="7"/>
            <w:shd w:val="clear" w:color="auto" w:fill="E6E6E6"/>
            <w:vAlign w:val="center"/>
          </w:tcPr>
          <w:p w14:paraId="7C5DD8A6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provisions</w:t>
            </w:r>
          </w:p>
        </w:tc>
      </w:tr>
      <w:tr w:rsidR="00B65F15" w:rsidRPr="00114E10" w14:paraId="3BBEF823" w14:textId="77777777" w:rsidTr="00A20E53">
        <w:tc>
          <w:tcPr>
            <w:tcW w:w="651" w:type="dxa"/>
            <w:gridSpan w:val="2"/>
          </w:tcPr>
          <w:p w14:paraId="2B8E98E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88C31A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559B0C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CE0A03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006EF52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CFFD9C2" w14:textId="77777777" w:rsidTr="00A20E53">
        <w:trPr>
          <w:trHeight w:val="298"/>
        </w:trPr>
        <w:tc>
          <w:tcPr>
            <w:tcW w:w="651" w:type="dxa"/>
            <w:gridSpan w:val="2"/>
          </w:tcPr>
          <w:p w14:paraId="284227F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D03039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7ADBD2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F3E605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47024437" w14:textId="77777777" w:rsidR="00B65F15" w:rsidRPr="00114E10" w:rsidRDefault="006F6486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1F962C7C" w14:textId="77777777" w:rsidTr="00A20E53">
        <w:trPr>
          <w:trHeight w:val="298"/>
        </w:trPr>
        <w:tc>
          <w:tcPr>
            <w:tcW w:w="651" w:type="dxa"/>
            <w:gridSpan w:val="2"/>
          </w:tcPr>
          <w:p w14:paraId="3E51B0E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EFC8E6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9F08C6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C47ADC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24E27B0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5566694" w14:textId="77777777" w:rsidTr="00A20E53">
        <w:tc>
          <w:tcPr>
            <w:tcW w:w="651" w:type="dxa"/>
            <w:gridSpan w:val="2"/>
          </w:tcPr>
          <w:p w14:paraId="5F35575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C6419E5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7421AA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E04E51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2CD653B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54F19B22" w14:textId="77777777" w:rsidTr="00A20E53">
        <w:tc>
          <w:tcPr>
            <w:tcW w:w="651" w:type="dxa"/>
            <w:gridSpan w:val="2"/>
          </w:tcPr>
          <w:p w14:paraId="4EAA001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AD2B21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0073BF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093D596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62759C14" w14:textId="77777777" w:rsidR="00B65F15" w:rsidRPr="00114E10" w:rsidRDefault="006F6486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86D853D" w14:textId="77777777" w:rsidTr="00A20E53">
        <w:tc>
          <w:tcPr>
            <w:tcW w:w="651" w:type="dxa"/>
            <w:gridSpan w:val="2"/>
          </w:tcPr>
          <w:p w14:paraId="53D94875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1BD99E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1C708B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BA72D39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577ED991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79CF4F48" w14:textId="77777777" w:rsidTr="00A20E53">
        <w:tc>
          <w:tcPr>
            <w:tcW w:w="651" w:type="dxa"/>
            <w:gridSpan w:val="2"/>
          </w:tcPr>
          <w:p w14:paraId="5C9D4EC6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9E3E51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6D75633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E12D5FF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53A8479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1ECD3924" w14:textId="77777777" w:rsidTr="00A20E53">
        <w:tc>
          <w:tcPr>
            <w:tcW w:w="651" w:type="dxa"/>
            <w:gridSpan w:val="2"/>
          </w:tcPr>
          <w:p w14:paraId="21217EC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D09A1C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59081C6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3CF560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2424473A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29A80D7" w14:textId="77777777" w:rsidTr="00A20E53">
        <w:tc>
          <w:tcPr>
            <w:tcW w:w="651" w:type="dxa"/>
            <w:gridSpan w:val="2"/>
          </w:tcPr>
          <w:p w14:paraId="4215CEF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9B22FC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3E0A34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BE52339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20853DA4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1AF4364F" w14:textId="77777777" w:rsidTr="00A20E53">
        <w:tc>
          <w:tcPr>
            <w:tcW w:w="651" w:type="dxa"/>
            <w:gridSpan w:val="2"/>
          </w:tcPr>
          <w:p w14:paraId="6C4D7DC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3DF855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10C895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8FEBEB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1FE7CEC6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1D11C142" w14:textId="77777777" w:rsidTr="00A20E53">
        <w:tc>
          <w:tcPr>
            <w:tcW w:w="651" w:type="dxa"/>
            <w:gridSpan w:val="2"/>
          </w:tcPr>
          <w:p w14:paraId="25D426E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6E53A3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2F7491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3BAD90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4224E92A" w14:textId="77777777" w:rsidR="00B65F15" w:rsidRPr="00114E10" w:rsidRDefault="00B65F15" w:rsidP="00E16669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65F15" w:rsidRPr="00114E10" w14:paraId="26308277" w14:textId="77777777" w:rsidTr="00A20E53">
        <w:tc>
          <w:tcPr>
            <w:tcW w:w="651" w:type="dxa"/>
            <w:gridSpan w:val="2"/>
          </w:tcPr>
          <w:p w14:paraId="4D2FC20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C32E06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6D7BE2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DA7169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2E199331" w14:textId="77777777" w:rsidR="00B65F15" w:rsidRPr="00114E10" w:rsidRDefault="00B65F15" w:rsidP="00E16669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65F15" w:rsidRPr="00114E10" w14:paraId="0FCD02B2" w14:textId="77777777" w:rsidTr="00A20E53">
        <w:tc>
          <w:tcPr>
            <w:tcW w:w="651" w:type="dxa"/>
            <w:gridSpan w:val="2"/>
          </w:tcPr>
          <w:p w14:paraId="2E09C38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79F0A0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B4F9AC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7F1E35D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15AC5887" w14:textId="77777777" w:rsidR="00B65F15" w:rsidRPr="00114E10" w:rsidRDefault="00B65F15" w:rsidP="00E166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65F15" w:rsidRPr="00114E10" w14:paraId="37B4D54F" w14:textId="77777777" w:rsidTr="00A20E53">
        <w:tc>
          <w:tcPr>
            <w:tcW w:w="651" w:type="dxa"/>
            <w:gridSpan w:val="2"/>
          </w:tcPr>
          <w:p w14:paraId="46ED1D5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18C433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CFA707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EB85706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40EF4EF5" w14:textId="77777777" w:rsidR="00B65F15" w:rsidRPr="00114E10" w:rsidRDefault="00B65F15" w:rsidP="00B65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65F15" w:rsidRPr="00114E10" w14:paraId="48167A0D" w14:textId="77777777" w:rsidTr="00A20E53">
        <w:tc>
          <w:tcPr>
            <w:tcW w:w="10348" w:type="dxa"/>
            <w:gridSpan w:val="7"/>
            <w:shd w:val="clear" w:color="auto" w:fill="E6E6E6"/>
            <w:vAlign w:val="center"/>
          </w:tcPr>
          <w:p w14:paraId="2F681C6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NES – Managing Contaminants in Soil to Protect Human Health</w:t>
            </w:r>
          </w:p>
        </w:tc>
      </w:tr>
      <w:tr w:rsidR="00B65F15" w:rsidRPr="00114E10" w14:paraId="28E264E6" w14:textId="77777777" w:rsidTr="00A20E53">
        <w:tc>
          <w:tcPr>
            <w:tcW w:w="651" w:type="dxa"/>
            <w:gridSpan w:val="2"/>
          </w:tcPr>
          <w:p w14:paraId="21552E6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BE0D0B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AB322D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54D6F3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26AFB51F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3DC42594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045A5FF" w14:textId="77777777" w:rsidR="003F6606" w:rsidRPr="00114E10" w:rsidRDefault="003F6606" w:rsidP="003F6606">
      <w:pPr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714"/>
      </w:tblGrid>
      <w:tr w:rsidR="003F6606" w:rsidRPr="00114E10" w14:paraId="5745796C" w14:textId="77777777" w:rsidTr="00114E10">
        <w:trPr>
          <w:cantSplit/>
          <w:trHeight w:val="291"/>
        </w:trPr>
        <w:tc>
          <w:tcPr>
            <w:tcW w:w="6492" w:type="dxa"/>
            <w:shd w:val="clear" w:color="auto" w:fill="000000"/>
          </w:tcPr>
          <w:p w14:paraId="78373A71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79CA0C44" w14:textId="77777777" w:rsidR="003F6606" w:rsidRPr="00114E10" w:rsidRDefault="003F6606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606" w:rsidRPr="00114E10" w14:paraId="74BF445D" w14:textId="77777777" w:rsidTr="00114E10">
        <w:tc>
          <w:tcPr>
            <w:tcW w:w="10206" w:type="dxa"/>
            <w:gridSpan w:val="2"/>
          </w:tcPr>
          <w:p w14:paraId="1F5013A8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789B314D" w14:textId="4C35921E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8AEAB7A" w14:textId="77777777" w:rsidR="003F6606" w:rsidRPr="00114E10" w:rsidRDefault="003F6606">
      <w:pPr>
        <w:rPr>
          <w:rFonts w:asciiTheme="minorHAnsi" w:hAnsiTheme="minorHAnsi" w:cstheme="minorHAnsi"/>
          <w:sz w:val="24"/>
        </w:rPr>
        <w:sectPr w:rsidR="003F6606" w:rsidRPr="00114E10" w:rsidSect="00114E10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544C5474" w14:textId="77777777" w:rsidR="003F6606" w:rsidRPr="00114E10" w:rsidRDefault="003F6606" w:rsidP="003F6606">
      <w:pPr>
        <w:rPr>
          <w:rFonts w:asciiTheme="minorHAnsi" w:hAnsiTheme="minorHAnsi" w:cstheme="minorHAnsi"/>
        </w:rPr>
      </w:pPr>
    </w:p>
    <w:sectPr w:rsidR="003F6606" w:rsidRPr="00114E10" w:rsidSect="00AE21D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BE82" w14:textId="77777777" w:rsidR="00EA281C" w:rsidRDefault="00EA281C">
      <w:r>
        <w:separator/>
      </w:r>
    </w:p>
  </w:endnote>
  <w:endnote w:type="continuationSeparator" w:id="0">
    <w:p w14:paraId="36E6BB89" w14:textId="77777777" w:rsidR="00EA281C" w:rsidRDefault="00EA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B69D" w14:textId="77777777" w:rsidR="005B131F" w:rsidRDefault="005B131F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C3765B3" w14:textId="77777777" w:rsidR="005B131F" w:rsidRDefault="005B131F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8F7C" w14:textId="77777777" w:rsidR="005B131F" w:rsidRPr="00A870F9" w:rsidRDefault="005B131F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A870F9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A870F9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A870F9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35AB1" w:rsidRPr="00A870F9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A870F9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A870F9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A870F9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A870F9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A870F9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35AB1" w:rsidRPr="00A870F9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A870F9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4CD871D8" w14:textId="218F81D8" w:rsidR="005B131F" w:rsidRPr="00920FAF" w:rsidRDefault="00C3218F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0106BE">
      <w:rPr>
        <w:rFonts w:asciiTheme="minorHAnsi" w:hAnsiTheme="minorHAnsi" w:cstheme="minorHAnsi"/>
        <w:sz w:val="16"/>
        <w:szCs w:val="16"/>
        <w:lang w:val="en-NZ"/>
      </w:rPr>
      <w:t>6.06.2025</w:t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A870F9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B131F" w:rsidRPr="00920FAF">
      <w:rPr>
        <w:rFonts w:asciiTheme="minorHAnsi" w:hAnsiTheme="minorHAnsi" w:cstheme="minorHAnsi"/>
        <w:b/>
        <w:sz w:val="16"/>
        <w:szCs w:val="16"/>
        <w:lang w:val="en-NZ"/>
      </w:rPr>
      <w:t>P-122a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9E13" w14:textId="77777777" w:rsidR="00EA281C" w:rsidRDefault="00EA281C">
      <w:r>
        <w:separator/>
      </w:r>
    </w:p>
  </w:footnote>
  <w:footnote w:type="continuationSeparator" w:id="0">
    <w:p w14:paraId="75C6168E" w14:textId="77777777" w:rsidR="00EA281C" w:rsidRDefault="00EA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CA83" w14:textId="7D2130D8" w:rsidR="005B131F" w:rsidRPr="00114E10" w:rsidRDefault="00114E10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5851F1BC" w14:textId="77777777" w:rsidR="005B131F" w:rsidRDefault="005B131F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9F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AEB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3DC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759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91"/>
    <w:multiLevelType w:val="hybridMultilevel"/>
    <w:tmpl w:val="FFFFFFFF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0E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0C49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8445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7C91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44410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1E2C7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E5EB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A5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6639D"/>
    <w:multiLevelType w:val="hybridMultilevel"/>
    <w:tmpl w:val="FFFFFFFF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6515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72F9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865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D18A3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00369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89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85B1B"/>
    <w:multiLevelType w:val="hybridMultilevel"/>
    <w:tmpl w:val="FFFFFFFF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98D792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7EE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617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B155F2"/>
    <w:multiLevelType w:val="hybridMultilevel"/>
    <w:tmpl w:val="FFFFFFFF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E3A0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76E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90C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63499"/>
    <w:multiLevelType w:val="hybridMultilevel"/>
    <w:tmpl w:val="35B83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26D4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80B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61AA0"/>
    <w:multiLevelType w:val="hybridMultilevel"/>
    <w:tmpl w:val="FFFFFFFF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76E2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2765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58602">
    <w:abstractNumId w:val="22"/>
  </w:num>
  <w:num w:numId="2" w16cid:durableId="1806579654">
    <w:abstractNumId w:val="3"/>
  </w:num>
  <w:num w:numId="3" w16cid:durableId="1923945729">
    <w:abstractNumId w:val="35"/>
  </w:num>
  <w:num w:numId="4" w16cid:durableId="2900377">
    <w:abstractNumId w:val="9"/>
  </w:num>
  <w:num w:numId="5" w16cid:durableId="1162502588">
    <w:abstractNumId w:val="10"/>
  </w:num>
  <w:num w:numId="6" w16cid:durableId="759720756">
    <w:abstractNumId w:val="11"/>
  </w:num>
  <w:num w:numId="7" w16cid:durableId="1725174629">
    <w:abstractNumId w:val="26"/>
  </w:num>
  <w:num w:numId="8" w16cid:durableId="1050346775">
    <w:abstractNumId w:val="28"/>
  </w:num>
  <w:num w:numId="9" w16cid:durableId="2095663267">
    <w:abstractNumId w:val="15"/>
  </w:num>
  <w:num w:numId="10" w16cid:durableId="1754744141">
    <w:abstractNumId w:val="13"/>
  </w:num>
  <w:num w:numId="11" w16cid:durableId="1417438020">
    <w:abstractNumId w:val="34"/>
  </w:num>
  <w:num w:numId="12" w16cid:durableId="1878741157">
    <w:abstractNumId w:val="4"/>
  </w:num>
  <w:num w:numId="13" w16cid:durableId="2123068408">
    <w:abstractNumId w:val="27"/>
  </w:num>
  <w:num w:numId="14" w16cid:durableId="1213493647">
    <w:abstractNumId w:val="14"/>
  </w:num>
  <w:num w:numId="15" w16cid:durableId="1092316785">
    <w:abstractNumId w:val="6"/>
  </w:num>
  <w:num w:numId="16" w16cid:durableId="943999624">
    <w:abstractNumId w:val="20"/>
  </w:num>
  <w:num w:numId="17" w16cid:durableId="166479238">
    <w:abstractNumId w:val="24"/>
  </w:num>
  <w:num w:numId="18" w16cid:durableId="1883787204">
    <w:abstractNumId w:val="30"/>
  </w:num>
  <w:num w:numId="19" w16cid:durableId="1603681559">
    <w:abstractNumId w:val="12"/>
  </w:num>
  <w:num w:numId="20" w16cid:durableId="1568421176">
    <w:abstractNumId w:val="1"/>
  </w:num>
  <w:num w:numId="21" w16cid:durableId="1917398313">
    <w:abstractNumId w:val="7"/>
  </w:num>
  <w:num w:numId="22" w16cid:durableId="868690363">
    <w:abstractNumId w:val="33"/>
  </w:num>
  <w:num w:numId="23" w16cid:durableId="646788162">
    <w:abstractNumId w:val="0"/>
  </w:num>
  <w:num w:numId="24" w16cid:durableId="383263737">
    <w:abstractNumId w:val="2"/>
  </w:num>
  <w:num w:numId="25" w16cid:durableId="762339328">
    <w:abstractNumId w:val="37"/>
  </w:num>
  <w:num w:numId="26" w16cid:durableId="844591803">
    <w:abstractNumId w:val="19"/>
  </w:num>
  <w:num w:numId="27" w16cid:durableId="1311788673">
    <w:abstractNumId w:val="23"/>
  </w:num>
  <w:num w:numId="28" w16cid:durableId="1725984452">
    <w:abstractNumId w:val="21"/>
  </w:num>
  <w:num w:numId="29" w16cid:durableId="819881601">
    <w:abstractNumId w:val="17"/>
  </w:num>
  <w:num w:numId="30" w16cid:durableId="623923225">
    <w:abstractNumId w:val="32"/>
  </w:num>
  <w:num w:numId="31" w16cid:durableId="433477592">
    <w:abstractNumId w:val="8"/>
  </w:num>
  <w:num w:numId="32" w16cid:durableId="1078478782">
    <w:abstractNumId w:val="29"/>
  </w:num>
  <w:num w:numId="33" w16cid:durableId="90694">
    <w:abstractNumId w:val="5"/>
  </w:num>
  <w:num w:numId="34" w16cid:durableId="299042291">
    <w:abstractNumId w:val="25"/>
  </w:num>
  <w:num w:numId="35" w16cid:durableId="981428247">
    <w:abstractNumId w:val="36"/>
  </w:num>
  <w:num w:numId="36" w16cid:durableId="1226181256">
    <w:abstractNumId w:val="31"/>
  </w:num>
  <w:num w:numId="37" w16cid:durableId="131749684">
    <w:abstractNumId w:val="18"/>
  </w:num>
  <w:num w:numId="38" w16cid:durableId="48960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99"/>
    <w:rsid w:val="00010160"/>
    <w:rsid w:val="000106BE"/>
    <w:rsid w:val="0002425D"/>
    <w:rsid w:val="00054D6D"/>
    <w:rsid w:val="00090BE0"/>
    <w:rsid w:val="000A0917"/>
    <w:rsid w:val="000A331F"/>
    <w:rsid w:val="000A37C9"/>
    <w:rsid w:val="000D1D95"/>
    <w:rsid w:val="000F2D67"/>
    <w:rsid w:val="000F2DDC"/>
    <w:rsid w:val="00114E10"/>
    <w:rsid w:val="00151EBC"/>
    <w:rsid w:val="00152E8E"/>
    <w:rsid w:val="001550D5"/>
    <w:rsid w:val="00166113"/>
    <w:rsid w:val="001C090E"/>
    <w:rsid w:val="001C49C1"/>
    <w:rsid w:val="001D7381"/>
    <w:rsid w:val="001E18A7"/>
    <w:rsid w:val="001F0E5D"/>
    <w:rsid w:val="00204C6B"/>
    <w:rsid w:val="00212296"/>
    <w:rsid w:val="00214AA7"/>
    <w:rsid w:val="00223A02"/>
    <w:rsid w:val="002261CC"/>
    <w:rsid w:val="002662F5"/>
    <w:rsid w:val="002724C6"/>
    <w:rsid w:val="002854FD"/>
    <w:rsid w:val="0029649B"/>
    <w:rsid w:val="002B1FE5"/>
    <w:rsid w:val="002C3C22"/>
    <w:rsid w:val="002E0B99"/>
    <w:rsid w:val="00346510"/>
    <w:rsid w:val="003A0AE8"/>
    <w:rsid w:val="003A7443"/>
    <w:rsid w:val="003B49C3"/>
    <w:rsid w:val="003C14FC"/>
    <w:rsid w:val="003C68A2"/>
    <w:rsid w:val="003D45D3"/>
    <w:rsid w:val="003E54DB"/>
    <w:rsid w:val="003F6606"/>
    <w:rsid w:val="004068BD"/>
    <w:rsid w:val="004138F5"/>
    <w:rsid w:val="00420DF7"/>
    <w:rsid w:val="00421C58"/>
    <w:rsid w:val="0044452B"/>
    <w:rsid w:val="00472037"/>
    <w:rsid w:val="004721CE"/>
    <w:rsid w:val="004962AA"/>
    <w:rsid w:val="00497953"/>
    <w:rsid w:val="004A4781"/>
    <w:rsid w:val="004A5393"/>
    <w:rsid w:val="004C413E"/>
    <w:rsid w:val="004D62F4"/>
    <w:rsid w:val="004E7CFD"/>
    <w:rsid w:val="005166A5"/>
    <w:rsid w:val="00522282"/>
    <w:rsid w:val="00523A57"/>
    <w:rsid w:val="0054751F"/>
    <w:rsid w:val="00556A51"/>
    <w:rsid w:val="00561FE2"/>
    <w:rsid w:val="0057258F"/>
    <w:rsid w:val="00574E83"/>
    <w:rsid w:val="0057605B"/>
    <w:rsid w:val="00577545"/>
    <w:rsid w:val="005849DA"/>
    <w:rsid w:val="005A268D"/>
    <w:rsid w:val="005A7924"/>
    <w:rsid w:val="005B00EF"/>
    <w:rsid w:val="005B131F"/>
    <w:rsid w:val="005D5552"/>
    <w:rsid w:val="005D6C80"/>
    <w:rsid w:val="005E072F"/>
    <w:rsid w:val="006044AB"/>
    <w:rsid w:val="006545E1"/>
    <w:rsid w:val="00667926"/>
    <w:rsid w:val="006713CA"/>
    <w:rsid w:val="00672647"/>
    <w:rsid w:val="00695B38"/>
    <w:rsid w:val="006A0614"/>
    <w:rsid w:val="006A77AF"/>
    <w:rsid w:val="006B0D8A"/>
    <w:rsid w:val="006C726B"/>
    <w:rsid w:val="006F535F"/>
    <w:rsid w:val="006F6486"/>
    <w:rsid w:val="006F7937"/>
    <w:rsid w:val="00722D46"/>
    <w:rsid w:val="0077180D"/>
    <w:rsid w:val="00784F8A"/>
    <w:rsid w:val="00790369"/>
    <w:rsid w:val="00790D66"/>
    <w:rsid w:val="00791B7A"/>
    <w:rsid w:val="007B09D3"/>
    <w:rsid w:val="007D51F4"/>
    <w:rsid w:val="007E3639"/>
    <w:rsid w:val="007E3B9B"/>
    <w:rsid w:val="00804D73"/>
    <w:rsid w:val="00820EFC"/>
    <w:rsid w:val="008414F8"/>
    <w:rsid w:val="008A2B81"/>
    <w:rsid w:val="008B4F84"/>
    <w:rsid w:val="008E3EAD"/>
    <w:rsid w:val="00916EA7"/>
    <w:rsid w:val="00920FAF"/>
    <w:rsid w:val="009423B3"/>
    <w:rsid w:val="0094448B"/>
    <w:rsid w:val="00975644"/>
    <w:rsid w:val="00976A28"/>
    <w:rsid w:val="00981C4E"/>
    <w:rsid w:val="00A0132F"/>
    <w:rsid w:val="00A108BC"/>
    <w:rsid w:val="00A20E53"/>
    <w:rsid w:val="00A30DB0"/>
    <w:rsid w:val="00A348AC"/>
    <w:rsid w:val="00A43DA1"/>
    <w:rsid w:val="00A74865"/>
    <w:rsid w:val="00A828E4"/>
    <w:rsid w:val="00A870F9"/>
    <w:rsid w:val="00AB4282"/>
    <w:rsid w:val="00AC716D"/>
    <w:rsid w:val="00AD0042"/>
    <w:rsid w:val="00AD4D09"/>
    <w:rsid w:val="00AE21D3"/>
    <w:rsid w:val="00AF6079"/>
    <w:rsid w:val="00B22E57"/>
    <w:rsid w:val="00B340C6"/>
    <w:rsid w:val="00B434D6"/>
    <w:rsid w:val="00B525D4"/>
    <w:rsid w:val="00B65F15"/>
    <w:rsid w:val="00B6687C"/>
    <w:rsid w:val="00B86258"/>
    <w:rsid w:val="00B86D74"/>
    <w:rsid w:val="00B93438"/>
    <w:rsid w:val="00BA46B9"/>
    <w:rsid w:val="00BD42CB"/>
    <w:rsid w:val="00BD5AD5"/>
    <w:rsid w:val="00C263E2"/>
    <w:rsid w:val="00C310C5"/>
    <w:rsid w:val="00C3218F"/>
    <w:rsid w:val="00C32EE2"/>
    <w:rsid w:val="00C35AB1"/>
    <w:rsid w:val="00C54900"/>
    <w:rsid w:val="00C56FF5"/>
    <w:rsid w:val="00C856AA"/>
    <w:rsid w:val="00CA36DA"/>
    <w:rsid w:val="00CA5BA3"/>
    <w:rsid w:val="00CD1CDA"/>
    <w:rsid w:val="00CD48DA"/>
    <w:rsid w:val="00CE11A7"/>
    <w:rsid w:val="00CE5298"/>
    <w:rsid w:val="00CF61C7"/>
    <w:rsid w:val="00D15E37"/>
    <w:rsid w:val="00D35FF4"/>
    <w:rsid w:val="00D56CDE"/>
    <w:rsid w:val="00D56D87"/>
    <w:rsid w:val="00D7402C"/>
    <w:rsid w:val="00D75C4C"/>
    <w:rsid w:val="00D90417"/>
    <w:rsid w:val="00DB0144"/>
    <w:rsid w:val="00DC0817"/>
    <w:rsid w:val="00DC2FE5"/>
    <w:rsid w:val="00DD4564"/>
    <w:rsid w:val="00DD7CD1"/>
    <w:rsid w:val="00DE563C"/>
    <w:rsid w:val="00DF4EFC"/>
    <w:rsid w:val="00DF6287"/>
    <w:rsid w:val="00E004C5"/>
    <w:rsid w:val="00E158C8"/>
    <w:rsid w:val="00E15CE8"/>
    <w:rsid w:val="00E16669"/>
    <w:rsid w:val="00E17815"/>
    <w:rsid w:val="00E30D73"/>
    <w:rsid w:val="00E674F9"/>
    <w:rsid w:val="00E737B6"/>
    <w:rsid w:val="00E84A21"/>
    <w:rsid w:val="00EA0FE1"/>
    <w:rsid w:val="00EA281C"/>
    <w:rsid w:val="00EA609F"/>
    <w:rsid w:val="00EB2CBC"/>
    <w:rsid w:val="00EC4A26"/>
    <w:rsid w:val="00ED1C01"/>
    <w:rsid w:val="00F04DCA"/>
    <w:rsid w:val="00F3676E"/>
    <w:rsid w:val="00F36DBF"/>
    <w:rsid w:val="00F541B0"/>
    <w:rsid w:val="00F81F48"/>
    <w:rsid w:val="00F9262B"/>
    <w:rsid w:val="00FB52A2"/>
    <w:rsid w:val="00FC7D6C"/>
    <w:rsid w:val="00FD651F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1BF9E"/>
  <w14:defaultImageDpi w14:val="0"/>
  <w15:docId w15:val="{C211F843-19B1-49DE-A5C1-F0FB7C4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A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AU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1F0E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3341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9486-2F24-4150-8C68-AEFEF71C07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3175</Words>
  <Characters>16291</Characters>
  <Application>Microsoft Office Word</Application>
  <DocSecurity>4</DocSecurity>
  <Lines>857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Centre zone checksheet</vt:lpstr>
    </vt:vector>
  </TitlesOfParts>
  <Company>Christchurch City Council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Centre zone checksheet</dc:title>
  <dc:subject/>
  <dc:creator>Robson, Gina</dc:creator>
  <cp:keywords/>
  <dc:description/>
  <cp:lastModifiedBy>Robson, Gina</cp:lastModifiedBy>
  <cp:revision>2</cp:revision>
  <cp:lastPrinted>2012-08-20T22:52:00Z</cp:lastPrinted>
  <dcterms:created xsi:type="dcterms:W3CDTF">2025-06-08T22:08:00Z</dcterms:created>
  <dcterms:modified xsi:type="dcterms:W3CDTF">2025-06-08T22:08:00Z</dcterms:modified>
</cp:coreProperties>
</file>